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7.jpeg" ContentType="image/jpeg"/>
  <Override PartName="/word/media/image12.jpeg" ContentType="image/jpeg"/>
  <Override PartName="/word/media/image3.gif" ContentType="image/gif"/>
  <Override PartName="/word/media/image4.gif" ContentType="image/gif"/>
  <Override PartName="/word/media/image6.jpeg" ContentType="image/jpeg"/>
  <Override PartName="/word/media/image11.jpeg" ContentType="image/jpeg"/>
  <Override PartName="/word/media/image5.jpeg" ContentType="image/jpeg"/>
  <Override PartName="/word/media/image8.jpeg" ContentType="image/jpeg"/>
  <Override PartName="/word/media/image9.jpeg" ContentType="image/jpeg"/>
  <Override PartName="/word/media/image10.gif" ContentType="image/gif"/>
  <Override PartName="/word/media/image13.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2" w:space="1" w:color="000000"/>
        </w:pBdr>
        <w:bidi w:val="0"/>
        <w:jc w:val="center"/>
        <w:rPr/>
      </w:pPr>
      <w:bookmarkStart w:id="0" w:name="bbnx-20260630.htm"/>
      <w:bookmarkStart w:id="1" w:name="ksbbnx20260630"/>
      <w:bookmarkEnd w:id="0"/>
      <w:bookmarkEnd w:id="1"/>
      <w:r>
        <w:drawing>
          <wp:anchor behindDoc="0" distT="0" distB="0" distL="0" distR="0" simplePos="0" locked="0" layoutInCell="1" allowOverlap="1" relativeHeight="18">
            <wp:simplePos x="0" y="0"/>
            <wp:positionH relativeFrom="page">
              <wp:posOffset>1428750</wp:posOffset>
            </wp:positionH>
            <wp:positionV relativeFrom="page">
              <wp:posOffset>571500</wp:posOffset>
            </wp:positionV>
            <wp:extent cx="829945" cy="854710"/>
            <wp:effectExtent l="0" t="0" r="0" b="0"/>
            <wp:wrapNone/>
            <wp:docPr id="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 descr=""/>
                    <pic:cNvPicPr>
                      <a:picLocks noChangeAspect="1" noChangeArrowheads="1"/>
                    </pic:cNvPicPr>
                  </pic:nvPicPr>
                  <pic:blipFill>
                    <a:blip r:embed="rId2"/>
                    <a:stretch>
                      <a:fillRect/>
                    </a:stretch>
                  </pic:blipFill>
                  <pic:spPr bwMode="auto">
                    <a:xfrm>
                      <a:off x="0" y="0"/>
                      <a:ext cx="829945" cy="854710"/>
                    </a:xfrm>
                    <a:prstGeom prst="rect">
                      <a:avLst/>
                    </a:prstGeom>
                  </pic:spPr>
                </pic:pic>
              </a:graphicData>
            </a:graphic>
          </wp:anchor>
        </w:drawing>
      </w:r>
      <w:r>
        <w:rPr/>
        <w:t> </w:t>
      </w:r>
      <w:r>
        <mc:AlternateContent>
          <mc:Choice Requires="wps">
            <w:drawing>
              <wp:anchor behindDoc="0" distT="0" distB="0" distL="0" distR="0" simplePos="0" locked="0" layoutInCell="1" allowOverlap="1" relativeHeight="17">
                <wp:simplePos x="0" y="0"/>
                <wp:positionH relativeFrom="page">
                  <wp:posOffset>2882900</wp:posOffset>
                </wp:positionH>
                <wp:positionV relativeFrom="page">
                  <wp:posOffset>9418955</wp:posOffset>
                </wp:positionV>
                <wp:extent cx="2006600" cy="194310"/>
                <wp:effectExtent l="0" t="0" r="0" b="0"/>
                <wp:wrapNone/>
                <wp:docPr id="2" name="Frame2"/>
                <a:graphic xmlns:a="http://schemas.openxmlformats.org/drawingml/2006/main">
                  <a:graphicData uri="http://schemas.microsoft.com/office/word/2010/wordprocessingShape">
                    <wps:wsp>
                      <wps:cNvSpPr txBox="1"/>
                      <wps:spPr>
                        <a:xfrm>
                          <a:off x="0" y="0"/>
                          <a:ext cx="2006600" cy="194310"/>
                        </a:xfrm>
                        <a:prstGeom prst="rect"/>
                        <a:solidFill>
                          <a:srgbClr val="FFFFFF"/>
                        </a:solidFill>
                      </wps:spPr>
                      <wps:txbx>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Signature Page to Amendment 2</w:t>
                            </w:r>
                          </w:p>
                        </w:txbxContent>
                      </wps:txbx>
                      <wps:bodyPr anchor="t" lIns="0" tIns="0" rIns="0" bIns="0">
                        <a:noAutofit/>
                      </wps:bodyPr>
                    </wps:wsp>
                  </a:graphicData>
                </a:graphic>
              </wp:anchor>
            </w:drawing>
          </mc:Choice>
          <mc:Fallback>
            <w:pict>
              <v:rect style="position:absolute;rotation:-0;width:158pt;height:15.3pt;mso-wrap-distance-left:0pt;mso-wrap-distance-right:0pt;mso-wrap-distance-top:0pt;mso-wrap-distance-bottom:0pt;margin-top:741.65pt;mso-position-vertical-relative:page;margin-left:227pt;mso-position-horizontal-relative:page">
                <v:textbox inset="0in,0in,0in,0in">
                  <w:txbxContent>
                    <w:p>
                      <w:pPr>
                        <w:pStyle w:val="TextBody"/>
                        <w:bidi w:val="0"/>
                        <w:spacing w:before="10" w:after="283"/>
                        <w:ind w:left="20" w:right="0" w:hanging="0"/>
                        <w:jc w:val="left"/>
                        <w:rPr>
                          <w:rFonts w:ascii="Times New Roman" w:hAnsi="Times New Roman"/>
                          <w:color w:val="000000"/>
                          <w:sz w:val="24"/>
                        </w:rPr>
                      </w:pPr>
                      <w:r>
                        <w:rPr>
                          <w:rFonts w:ascii="Times New Roman" w:hAnsi="Times New Roman"/>
                          <w:color w:val="000000"/>
                          <w:sz w:val="24"/>
                        </w:rPr>
                        <w:t>Signature Page to Amendment 2</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3810000</wp:posOffset>
                </wp:positionH>
                <wp:positionV relativeFrom="page">
                  <wp:posOffset>9418955</wp:posOffset>
                </wp:positionV>
                <wp:extent cx="165100" cy="194310"/>
                <wp:effectExtent l="0" t="0" r="0" b="0"/>
                <wp:wrapNone/>
                <wp:docPr id="3" name="Frame1"/>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41.65pt;mso-position-vertical-relative:page;margin-left:300pt;mso-position-horizontal-relative:page">
                <v:textbox inset="0in,0in,0in,0in">
                  <w:txbxContent>
                    <w:p>
                      <w:pPr>
                        <w:pStyle w:val="TextBody"/>
                        <w:bidi w:val="0"/>
                        <w:spacing w:before="10" w:after="283"/>
                        <w:ind w:left="60" w:right="0" w:hanging="0"/>
                        <w:jc w:val="left"/>
                        <w:rPr/>
                      </w:pPr>
                      <w:r>
                        <w:rPr/>
                        <w:t> </w:t>
                      </w:r>
                    </w:p>
                  </w:txbxContent>
                </v:textbox>
                <w10:wrap type="none"/>
              </v:rect>
            </w:pict>
          </mc:Fallback>
        </mc:AlternateConten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60" w:after="283"/>
        <w:jc w:val="center"/>
        <w:rPr>
          <w:rFonts w:ascii="Times New Roman" w:hAnsi="Times New Roman"/>
          <w:b/>
          <w:color w:val="000000"/>
          <w:sz w:val="30"/>
        </w:rPr>
      </w:pPr>
      <w:r>
        <w:rPr>
          <w:rFonts w:ascii="Times New Roman" w:hAnsi="Times New Roman"/>
          <w:b/>
          <w:color w:val="000000"/>
          <w:sz w:val="30"/>
        </w:rPr>
        <w:t>FORM 10-Q</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14"/>
        </w:rPr>
        <w:t>(Mark One)</w:t>
      </w:r>
      <w:r>
        <w:rPr>
          <w:rFonts w:ascii="Times New Roman" w:hAnsi="Times New Roman"/>
          <w:color w:val="000000"/>
          <w:sz w:val="20"/>
        </w:rPr>
        <w:t xml:space="preserve">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For the quarterly period ended June 30, 2026</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18"/>
              </w:rPr>
            </w:pPr>
            <w:r>
              <w:rPr>
                <w:rFonts w:ascii="Times New Roman" w:hAnsi="Times New Roman"/>
                <w:b/>
                <w:color w:val="000000"/>
                <w:sz w:val="18"/>
              </w:rPr>
              <w:t>TRANSITION REPORT PURSUANT TO SECTION 13 OR 15(d) OF THE SECURITIES EXCHANGE ACT OF 1934 FOR THE TRANSITION PERIOD FROM TO</w:t>
            </w:r>
            <w:r>
              <w:rPr>
                <w:rFonts w:ascii="Times New Roman" w:hAnsi="Times New Roman"/>
                <w:color w:val="000000"/>
                <w:sz w:val="18"/>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001-42491</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60" w:after="283"/>
        <w:jc w:val="center"/>
        <w:rPr>
          <w:rFonts w:ascii="Times New Roman" w:hAnsi="Times New Roman"/>
          <w:b/>
          <w:color w:val="000000"/>
          <w:sz w:val="38"/>
        </w:rPr>
      </w:pPr>
      <w:r>
        <w:rPr>
          <w:rFonts w:ascii="Times New Roman" w:hAnsi="Times New Roman"/>
          <w:b/>
          <w:color w:val="000000"/>
          <w:sz w:val="38"/>
        </w:rPr>
        <w:t>BETA BIONICS,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47-5386878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11 Hughes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Irvine,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92618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Registrant’s telephone number, including area code: (949) 427-7785</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Securities registered pursuant to Section 12(b) of the Act:</w:t>
      </w:r>
    </w:p>
    <w:tbl>
      <w:tblPr>
        <w:tblW w:w="6266" w:type="dxa"/>
        <w:jc w:val="left"/>
        <w:tblInd w:w="0" w:type="dxa"/>
        <w:tblLayout w:type="fixed"/>
        <w:tblCellMar>
          <w:top w:w="28" w:type="dxa"/>
          <w:left w:w="28" w:type="dxa"/>
          <w:bottom w:w="28" w:type="dxa"/>
          <w:right w:w="28" w:type="dxa"/>
        </w:tblCellMar>
      </w:tblPr>
      <w:tblGrid>
        <w:gridCol w:w="2641"/>
        <w:gridCol w:w="109"/>
        <w:gridCol w:w="706"/>
        <w:gridCol w:w="109"/>
        <w:gridCol w:w="2701"/>
      </w:tblGrid>
      <w:tr>
        <w:trPr/>
        <w:tc>
          <w:tcPr>
            <w:tcW w:w="2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 registered</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 $0.0001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BBNX</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Nasdaq Global Market</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2"/>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2"/>
        </w:rPr>
        <w:t>Yes</w:t>
      </w:r>
      <w:r>
        <w:rPr>
          <w:rFonts w:ascii="Times New Roman" w:hAnsi="Times New Roman"/>
          <w:color w:val="000000"/>
          <w:sz w:val="20"/>
        </w:rPr>
        <w:t xml:space="preserve"> ☒ </w:t>
      </w:r>
      <w:r>
        <w:rPr>
          <w:rFonts w:ascii="Times New Roman" w:hAnsi="Times New Roman"/>
          <w:caps/>
          <w:color w:val="000000"/>
          <w:sz w:val="12"/>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2"/>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2"/>
        </w:rPr>
        <w:t>Yes</w:t>
      </w:r>
      <w:r>
        <w:rPr>
          <w:rFonts w:ascii="Times New Roman" w:hAnsi="Times New Roman"/>
          <w:color w:val="000000"/>
          <w:sz w:val="12"/>
        </w:rPr>
        <w:t xml:space="preserve"> </w:t>
      </w:r>
      <w:r>
        <w:rPr>
          <w:rFonts w:ascii="Times New Roman" w:hAnsi="Times New Roman"/>
          <w:color w:val="000000"/>
          <w:sz w:val="20"/>
        </w:rPr>
        <w:t xml:space="preserve">☒ </w:t>
      </w:r>
      <w:r>
        <w:rPr>
          <w:rFonts w:ascii="Times New Roman" w:hAnsi="Times New Roman"/>
          <w:caps/>
          <w:color w:val="000000"/>
          <w:sz w:val="12"/>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2"/>
        </w:rPr>
      </w:pPr>
      <w:r>
        <w:rPr>
          <w:rFonts w:ascii="Times New Roman" w:hAnsi="Times New Roman"/>
          <w:color w:val="000000"/>
          <w:sz w:val="12"/>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3901" w:type="dxa"/>
        <w:jc w:val="left"/>
        <w:tblInd w:w="0" w:type="dxa"/>
        <w:tblLayout w:type="fixed"/>
        <w:tblCellMar>
          <w:top w:w="28" w:type="dxa"/>
          <w:left w:w="28" w:type="dxa"/>
          <w:bottom w:w="28" w:type="dxa"/>
          <w:right w:w="28" w:type="dxa"/>
        </w:tblCellMar>
      </w:tblPr>
      <w:tblGrid>
        <w:gridCol w:w="1456"/>
        <w:gridCol w:w="109"/>
        <w:gridCol w:w="316"/>
        <w:gridCol w:w="109"/>
        <w:gridCol w:w="1441"/>
        <w:gridCol w:w="109"/>
        <w:gridCol w:w="361"/>
      </w:tblGrid>
      <w:tr>
        <w:trPr/>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2"/>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2"/>
        </w:rPr>
        <w:t xml:space="preserve">Indicate by check mark whether the Registrant is a shell company (as defined in Rule 12b-2 of the Exchange Act). </w:t>
      </w:r>
      <w:r>
        <w:rPr>
          <w:rFonts w:ascii="Times New Roman" w:hAnsi="Times New Roman"/>
          <w:caps/>
          <w:color w:val="000000"/>
          <w:sz w:val="12"/>
        </w:rPr>
        <w:t>Yes</w:t>
      </w:r>
      <w:r>
        <w:rPr>
          <w:rFonts w:ascii="Times New Roman" w:hAnsi="Times New Roman"/>
          <w:color w:val="000000"/>
          <w:sz w:val="20"/>
        </w:rPr>
        <w:t xml:space="preserve"> ☐ </w:t>
      </w:r>
      <w:r>
        <w:rPr>
          <w:rFonts w:ascii="Times New Roman" w:hAnsi="Times New Roman"/>
          <w:caps/>
          <w:color w:val="000000"/>
          <w:sz w:val="12"/>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2"/>
        </w:rPr>
        <w:t>The number of shares of the Registrant’s Common Stock outstanding as of July 27, 2026</w:t>
      </w:r>
      <w:r>
        <w:rPr>
          <w:rFonts w:ascii="Times New Roman" w:hAnsi="Times New Roman"/>
          <w:color w:val="000000"/>
          <w:sz w:val="20"/>
        </w:rPr>
        <w:t xml:space="preserve"> </w:t>
      </w:r>
      <w:r>
        <w:rPr>
          <w:rFonts w:ascii="Times New Roman" w:hAnsi="Times New Roman"/>
          <w:color w:val="000000"/>
          <w:sz w:val="12"/>
        </w:rPr>
        <w:t>was 44,989,688.</w:t>
      </w:r>
    </w:p>
    <w:p>
      <w:pPr>
        <w:pStyle w:val="TextBody"/>
        <w:pBdr>
          <w:bottom w:val="double" w:sz="2"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0"/>
        <w:gridCol w:w="8843"/>
        <w:gridCol w:w="512"/>
      </w:tblGrid>
      <w:tr>
        <w:trPr/>
        <w:tc>
          <w:tcPr>
            <w:tcW w:w="850" w:type="dxa"/>
            <w:tcBorders/>
            <w:vAlign w:val="center"/>
          </w:tcPr>
          <w:p>
            <w:pPr>
              <w:pStyle w:val="TableContents"/>
              <w:bidi w:val="0"/>
              <w:spacing w:before="0" w:after="283"/>
              <w:jc w:val="left"/>
              <w:rPr>
                <w:sz w:val="4"/>
                <w:szCs w:val="4"/>
              </w:rPr>
            </w:pPr>
            <w:r>
              <w:rPr>
                <w:sz w:val="4"/>
                <w:szCs w:val="4"/>
              </w:rPr>
            </w:r>
          </w:p>
        </w:tc>
        <w:tc>
          <w:tcPr>
            <w:tcW w:w="884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1_financial_statements">
              <w:r>
                <w:rPr>
                  <w:rStyle w:val="InternetLink"/>
                  <w:rFonts w:ascii="Times New Roman" w:hAnsi="Times New Roman"/>
                  <w:color w:val="0000FF"/>
                  <w:sz w:val="20"/>
                  <w:u w:val="single"/>
                </w:rPr>
                <w:t>Item 1.</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June 30, 2026 (Unaudited)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operations">
              <w:r>
                <w:rPr>
                  <w:rStyle w:val="InternetLink"/>
                  <w:rFonts w:ascii="Times New Roman" w:hAnsi="Times New Roman"/>
                  <w:color w:val="0000FF"/>
                  <w:sz w:val="20"/>
                  <w:u w:val="single"/>
                </w:rPr>
                <w:t>Condensed Statements of Operations and Comprehensive Loss for the three and six months ended June 30,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equity">
              <w:r>
                <w:rPr>
                  <w:rStyle w:val="InternetLink"/>
                  <w:rFonts w:ascii="Times New Roman" w:hAnsi="Times New Roman"/>
                  <w:color w:val="0000FF"/>
                  <w:sz w:val="20"/>
                  <w:u w:val="single"/>
                </w:rPr>
                <w:t>Condensed Statements of Convertible Preferred Stock and Stockholders’ Equity for the three and six months ended June 30,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Statements of Cash Flows for the six months ended June 30, 2026 and 2025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 (Unaudited)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mda">
              <w:r>
                <w:rPr>
                  <w:rStyle w:val="InternetLink"/>
                  <w:rFonts w:ascii="Times New Roman" w:hAnsi="Times New Roman"/>
                  <w:color w:val="0000FF"/>
                  <w:sz w:val="20"/>
                  <w:u w:val="single"/>
                </w:rPr>
                <w:t>Item 2.</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22</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market_risk">
              <w:r>
                <w:rPr>
                  <w:rStyle w:val="InternetLink"/>
                  <w:rFonts w:ascii="Times New Roman" w:hAnsi="Times New Roman"/>
                  <w:color w:val="0000FF"/>
                  <w:sz w:val="20"/>
                  <w:u w:val="single"/>
                </w:rPr>
                <w:t>Item 3.</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rket_risk">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40</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controls_and_procedures">
              <w:r>
                <w:rPr>
                  <w:rStyle w:val="InternetLink"/>
                  <w:rFonts w:ascii="Times New Roman" w:hAnsi="Times New Roman"/>
                  <w:color w:val="0000FF"/>
                  <w:sz w:val="20"/>
                  <w:u w:val="single"/>
                </w:rPr>
                <w:t>Item 4.</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other_information">
              <w:r>
                <w:rPr>
                  <w:rStyle w:val="InternetLink"/>
                  <w:rFonts w:ascii="Times New Roman" w:hAnsi="Times New Roman"/>
                  <w:b/>
                  <w:color w:val="0000FF"/>
                  <w:sz w:val="20"/>
                  <w:u w:val="single"/>
                </w:rPr>
                <w:t>PART II</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41</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legal_proceedings">
              <w:r>
                <w:rPr>
                  <w:rStyle w:val="InternetLink"/>
                  <w:rFonts w:ascii="Times New Roman" w:hAnsi="Times New Roman"/>
                  <w:color w:val="0000FF"/>
                  <w:sz w:val="20"/>
                  <w:u w:val="single"/>
                </w:rPr>
                <w:t>Item 1.</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41</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risk_factors">
              <w:r>
                <w:rPr>
                  <w:rStyle w:val="InternetLink"/>
                  <w:rFonts w:ascii="Times New Roman" w:hAnsi="Times New Roman"/>
                  <w:color w:val="0000FF"/>
                  <w:sz w:val="20"/>
                  <w:u w:val="single"/>
                </w:rPr>
                <w:t>Item 1A.</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41</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use_of_proceeds">
              <w:r>
                <w:rPr>
                  <w:rStyle w:val="InternetLink"/>
                  <w:rFonts w:ascii="Times New Roman" w:hAnsi="Times New Roman"/>
                  <w:color w:val="0000FF"/>
                  <w:sz w:val="20"/>
                  <w:u w:val="single"/>
                </w:rPr>
                <w:t>Item 2.</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use_of_proceeds">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defaults_upon_senior_securities">
              <w:r>
                <w:rPr>
                  <w:rStyle w:val="InternetLink"/>
                  <w:rFonts w:ascii="Times New Roman" w:hAnsi="Times New Roman"/>
                  <w:color w:val="0000FF"/>
                  <w:sz w:val="20"/>
                  <w:u w:val="single"/>
                </w:rPr>
                <w:t>Item 3.</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defaults_upon_senior_securities">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mine_safety_disclosures">
              <w:r>
                <w:rPr>
                  <w:rStyle w:val="InternetLink"/>
                  <w:rFonts w:ascii="Times New Roman" w:hAnsi="Times New Roman"/>
                  <w:color w:val="0000FF"/>
                  <w:sz w:val="20"/>
                  <w:u w:val="single"/>
                </w:rPr>
                <w:t>Item 4.</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2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other_information">
              <w:r>
                <w:rPr>
                  <w:rStyle w:val="InternetLink"/>
                  <w:rFonts w:ascii="Times New Roman" w:hAnsi="Times New Roman"/>
                  <w:color w:val="0000FF"/>
                  <w:sz w:val="20"/>
                  <w:u w:val="single"/>
                </w:rPr>
                <w:t>Item 5.</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p2_othe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45</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hyperlink w:anchor="item_6_exhibits">
              <w:r>
                <w:rPr>
                  <w:rStyle w:val="InternetLink"/>
                  <w:rFonts w:ascii="Times New Roman" w:hAnsi="Times New Roman"/>
                  <w:color w:val="0000FF"/>
                  <w:sz w:val="20"/>
                  <w:u w:val="single"/>
                </w:rPr>
                <w:t>Item 6.</w:t>
              </w:r>
            </w:hyperlink>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85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84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SPECIAL NOTE REGARDING FORWARD-LOOKING STATEMENTS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This Quarterly Report on Form 10-Q (this Quarterly Report) contains forward-looking statements about us and our industry that involve substantial risks and uncertainties. All statements other than statements of historical facts contained in this Quarterly Report,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Part II. Item 1A. “Risk Factors” and elsewhere in this Quarterly Report, regarding, among other things: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expected future growth;</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size and growth potential of the markets for our products, and our ability to serve those markets;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accurately forecast demand for our products;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rate and degree of market acceptance of our products;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expected future growth of our sales and marketing organization;</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implement our multi-channel coverage and reimbursement strategy;</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performance of, and our reliance on, third parties in connection with the commercialization of our products, including single source suppliers;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accurately forecast and manufacture appropriate quantities of our products to meet commercial demand;</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regulatory developments in the United States;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maintain regulatory approval for our products or obtain regulatory approval for new products in the United States;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research and development, regulatory approval and commercialization of existing products and any future products and related timing;</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development, regulatory approval and commercialization of competing products;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ability to retain and hire senior management and key personnel;</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expectations regarding the period during which we qualify as an emerging growth company under the Jumpstart Our Business Startups Act (JOBS Act);</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expectations regarding the impact of geopolitical and macroeconomic factors;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our financial performance and capital requirements;</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expectations regarding our ability to obtain and maintain intellectual property protection for our products, as well as our ability to operate our business without infringing the intellectual property rights of others; </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our expected use of our existing cash, cash equivalents and short-term and long-term investments, including expected use of net proceeds from our initial public offering and other financing transactions; and </w:t>
      </w:r>
    </w:p>
    <w:p>
      <w:pPr>
        <w:pStyle w:val="TextBody"/>
        <w:bidi w:val="0"/>
        <w:spacing w:before="240" w:after="283"/>
        <w:jc w:val="left"/>
        <w:rPr>
          <w:color w:val="231F20"/>
        </w:rPr>
      </w:pPr>
      <w:r>
        <w:rPr>
          <w:color w:val="231F20"/>
        </w:rPr>
        <w: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other risks and uncertainties, including those described under Part II. Item 1A. “Risk Factors” in this Quarterly Report.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These risks are not exhaustive. Other sections of this Quarterly Report may include additional factors that could harm our business and financial performance. We operate in a very competitive and rapidly changing environment where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and operating results. These forward-looking statements speak only as of the date of this Quarterly Report. We undertake no obligation to update any forward-looking statements made in this Quarterly Report to reflect events or circumstances after the date of this Quarterly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intend the forward-looking statements contained in this Quarterly Report to be covered by the safe harbor provisions for forward-looking statements contained in Section 27A of the Securities Act of 1933, as amended (the Securities Act), and Section 21E of the Securities Exchange Act of 1934, as amended (the Exchange Act).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statements that “we believe” and similar statements reflect our beliefs and opinions on the relevant subject. These statements are based on information available to us as of the date of this Quarterly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You should read this Quarterly Report and the documents that we reference in this Quarterly Report and have filed as exhibits with the understanding that our actual future results, levels of activity, performance and achievements may be different from what we expect. We qualify all of our forward-looking statements by these cautionary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b/>
          <w:color w:val="231F20"/>
          <w:sz w:val="20"/>
        </w:rPr>
      </w:pPr>
      <w:bookmarkStart w:id="4" w:name="condensed_balance_sheets"/>
      <w:bookmarkEnd w:id="4"/>
      <w:r>
        <w:rPr>
          <w:rFonts w:ascii="Times New Roman" w:hAnsi="Times New Roman"/>
          <w:b/>
          <w:color w:val="231F20"/>
          <w:sz w:val="20"/>
        </w:rPr>
        <w:t>CONDENSED BALANCE SHEETS</w:t>
      </w:r>
    </w:p>
    <w:p>
      <w:pPr>
        <w:pStyle w:val="TextBody"/>
        <w:bidi w:val="0"/>
        <w:spacing w:before="120" w:after="40"/>
        <w:jc w:val="center"/>
        <w:rPr>
          <w:rFonts w:ascii="Times New Roman" w:hAnsi="Times New Roman"/>
          <w:b/>
          <w:color w:val="231F20"/>
          <w:sz w:val="20"/>
        </w:rPr>
      </w:pPr>
      <w:r>
        <w:rPr>
          <w:rFonts w:ascii="Times New Roman" w:hAnsi="Times New Roman"/>
          <w:b/>
          <w:color w:val="231F20"/>
          <w:sz w:val="20"/>
        </w:rPr>
        <w:t>(In thousands, except number of shares)</w:t>
      </w:r>
    </w:p>
    <w:tbl>
      <w:tblPr>
        <w:tblW w:w="10205" w:type="dxa"/>
        <w:jc w:val="left"/>
        <w:tblInd w:w="0" w:type="dxa"/>
        <w:tblLayout w:type="fixed"/>
        <w:tblCellMar>
          <w:top w:w="28" w:type="dxa"/>
          <w:left w:w="28" w:type="dxa"/>
          <w:bottom w:w="28" w:type="dxa"/>
          <w:right w:w="28" w:type="dxa"/>
        </w:tblCellMar>
      </w:tblPr>
      <w:tblGrid>
        <w:gridCol w:w="7014"/>
        <w:gridCol w:w="146"/>
        <w:gridCol w:w="211"/>
        <w:gridCol w:w="841"/>
        <w:gridCol w:w="166"/>
        <w:gridCol w:w="146"/>
        <w:gridCol w:w="214"/>
        <w:gridCol w:w="855"/>
        <w:gridCol w:w="612"/>
      </w:tblGrid>
      <w:tr>
        <w:trPr/>
        <w:tc>
          <w:tcPr>
            <w:tcW w:w="7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31,576</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267,905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6,627</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328,743</w:t>
            </w:r>
          </w:p>
        </w:tc>
        <w:tc>
          <w:tcPr>
            <w:tcW w:w="6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30,924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no shares issued and outstanding at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700,000,000 shares authorized; 44,981,606 and 44,360,873 issued and outstanding at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657,140</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(369,937</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287,610</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328,743</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231F20"/>
          <w:sz w:val="20"/>
        </w:rPr>
      </w:pPr>
      <w:r>
        <w:rPr>
          <w:rFonts w:ascii="Times New Roman" w:hAnsi="Times New Roman"/>
          <w:color w:val="231F2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sz w:val="20"/>
        </w:rPr>
      </w:pPr>
      <w:bookmarkStart w:id="5" w:name="condensed_statements_of_operations"/>
      <w:bookmarkEnd w:id="5"/>
      <w:r>
        <w:rPr>
          <w:rFonts w:ascii="Times New Roman" w:hAnsi="Times New Roman"/>
          <w:b/>
          <w:color w:val="000000"/>
          <w:sz w:val="20"/>
        </w:rPr>
        <w:t xml:space="preserve">CONDENSED </w:t>
      </w:r>
      <w:r>
        <w:rPr>
          <w:rFonts w:ascii="Times New Roman" w:hAnsi="Times New Roman"/>
          <w:b/>
          <w:color w:val="231F20"/>
          <w:sz w:val="20"/>
        </w:rPr>
        <w:t>STATEMENTS OF OPERATIONS</w:t>
      </w:r>
      <w:r>
        <w:rPr>
          <w:rFonts w:ascii="Times New Roman" w:hAnsi="Times New Roman"/>
          <w:color w:val="231F20"/>
          <w:sz w:val="20"/>
        </w:rPr>
        <w:t xml:space="preserve"> </w:t>
      </w:r>
      <w:r>
        <w:rPr>
          <w:rFonts w:ascii="Times New Roman" w:hAnsi="Times New Roman"/>
          <w:b/>
          <w:color w:val="231F20"/>
          <w:sz w:val="20"/>
        </w:rPr>
        <w:t>AND COMPREHENSIVE LOSS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(In thousands, except number of shares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short-term and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44,545,293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43,390,652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44,554,141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37,087,726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231F20"/>
          <w:sz w:val="20"/>
        </w:rPr>
      </w:pPr>
      <w:r>
        <w:rPr>
          <w:rFonts w:ascii="Times New Roman" w:hAnsi="Times New Roman"/>
          <w:color w:val="231F20"/>
          <w:sz w:val="20"/>
        </w:rPr>
        <w:t>The accompanying notes are an integral part of these unaudited condensed financial statements.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sz w:val="20"/>
        </w:rPr>
      </w:pPr>
      <w:bookmarkStart w:id="6" w:name="condensed_statements_of_equity"/>
      <w:bookmarkEnd w:id="6"/>
      <w:r>
        <w:rPr>
          <w:rFonts w:ascii="Times New Roman" w:hAnsi="Times New Roman"/>
          <w:b/>
          <w:color w:val="000000"/>
          <w:sz w:val="20"/>
        </w:rPr>
        <w:t xml:space="preserve">CONDENSED </w:t>
      </w:r>
      <w:r>
        <w:rPr>
          <w:rFonts w:ascii="Times New Roman" w:hAnsi="Times New Roman"/>
          <w:b/>
          <w:color w:val="231F20"/>
          <w:sz w:val="20"/>
        </w:rPr>
        <w:t>STATEMENTS OF CONVERTIBLE PREFERRED STOCK AND</w:t>
      </w:r>
      <w:r>
        <w:rPr>
          <w:rFonts w:ascii="Times New Roman" w:hAnsi="Times New Roman"/>
          <w:color w:val="231F20"/>
          <w:sz w:val="20"/>
        </w:rPr>
        <w:t xml:space="preserve"> </w:t>
      </w:r>
      <w:r>
        <w:rPr>
          <w:rFonts w:ascii="Times New Roman" w:hAnsi="Times New Roman"/>
          <w:b/>
          <w:color w:val="231F20"/>
          <w:sz w:val="20"/>
        </w:rPr>
        <w:t>STOCKHOLDERS’ EQUITY</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(In thousands, except number of shares)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231F20"/>
          <w:sz w:val="20"/>
          <w:u w:val="single"/>
        </w:rPr>
      </w:pPr>
      <w:r>
        <w:rPr>
          <w:rFonts w:ascii="Times New Roman" w:hAnsi="Times New Roman"/>
          <w:b/>
          <w:color w:val="231F20"/>
          <w:sz w:val="20"/>
          <w:u w:val="single"/>
        </w:rPr>
        <w:t>Six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5"/>
        <w:gridCol w:w="146"/>
        <w:gridCol w:w="151"/>
        <w:gridCol w:w="360"/>
        <w:gridCol w:w="146"/>
        <w:gridCol w:w="146"/>
        <w:gridCol w:w="196"/>
        <w:gridCol w:w="375"/>
        <w:gridCol w:w="146"/>
        <w:gridCol w:w="146"/>
        <w:gridCol w:w="146"/>
        <w:gridCol w:w="146"/>
        <w:gridCol w:w="766"/>
        <w:gridCol w:w="146"/>
        <w:gridCol w:w="146"/>
        <w:gridCol w:w="196"/>
        <w:gridCol w:w="375"/>
        <w:gridCol w:w="146"/>
        <w:gridCol w:w="146"/>
        <w:gridCol w:w="181"/>
        <w:gridCol w:w="586"/>
        <w:gridCol w:w="146"/>
        <w:gridCol w:w="146"/>
        <w:gridCol w:w="331"/>
        <w:gridCol w:w="690"/>
        <w:gridCol w:w="151"/>
        <w:gridCol w:w="146"/>
        <w:gridCol w:w="194"/>
        <w:gridCol w:w="677"/>
        <w:gridCol w:w="151"/>
        <w:gridCol w:w="146"/>
        <w:gridCol w:w="210"/>
        <w:gridCol w:w="682"/>
        <w:gridCol w:w="278"/>
      </w:tblGrid>
      <w:tr>
        <w:trPr/>
        <w:tc>
          <w:tcPr>
            <w:tcW w:w="1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44,360,873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657,140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(369,937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287,610</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303,628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224,900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1,197</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Issuance of common stock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1,228</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12,422</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Unrealized gain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(793</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(45,298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(45,298</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44,981,606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671,986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(415,235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256,366</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u w:val="single"/>
        </w:rPr>
      </w:pPr>
      <w:r>
        <w:rPr>
          <w:rFonts w:ascii="Times New Roman" w:hAnsi="Times New Roman"/>
          <w:b/>
          <w:color w:val="231F20"/>
          <w:sz w:val="20"/>
          <w:u w:val="single"/>
        </w:rPr>
        <w:t>Three months ended June 30,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65"/>
        <w:gridCol w:w="146"/>
        <w:gridCol w:w="151"/>
        <w:gridCol w:w="360"/>
        <w:gridCol w:w="146"/>
        <w:gridCol w:w="146"/>
        <w:gridCol w:w="196"/>
        <w:gridCol w:w="375"/>
        <w:gridCol w:w="146"/>
        <w:gridCol w:w="146"/>
        <w:gridCol w:w="146"/>
        <w:gridCol w:w="146"/>
        <w:gridCol w:w="766"/>
        <w:gridCol w:w="146"/>
        <w:gridCol w:w="146"/>
        <w:gridCol w:w="196"/>
        <w:gridCol w:w="375"/>
        <w:gridCol w:w="146"/>
        <w:gridCol w:w="146"/>
        <w:gridCol w:w="181"/>
        <w:gridCol w:w="586"/>
        <w:gridCol w:w="146"/>
        <w:gridCol w:w="146"/>
        <w:gridCol w:w="331"/>
        <w:gridCol w:w="690"/>
        <w:gridCol w:w="151"/>
        <w:gridCol w:w="146"/>
        <w:gridCol w:w="194"/>
        <w:gridCol w:w="677"/>
        <w:gridCol w:w="151"/>
        <w:gridCol w:w="146"/>
        <w:gridCol w:w="210"/>
        <w:gridCol w:w="682"/>
        <w:gridCol w:w="278"/>
      </w:tblGrid>
      <w:tr>
        <w:trPr/>
        <w:tc>
          <w:tcPr>
            <w:tcW w:w="14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44,561,695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663,168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(391,832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271,245</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574</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Issuance of common stock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92,205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1,228</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7,016</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Unrealized gain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(294</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465"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(23,403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(23,403</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44,981,606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671,986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(415,235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256,366</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231F20"/>
          <w:sz w:val="20"/>
          <w:u w:val="single"/>
        </w:rPr>
      </w:pPr>
      <w:r>
        <w:rPr>
          <w:rFonts w:ascii="Times New Roman" w:hAnsi="Times New Roman"/>
          <w:b/>
          <w:color w:val="231F20"/>
          <w:sz w:val="20"/>
          <w:u w:val="single"/>
        </w:rPr>
        <w:t>Six months ended June 30, 2025</w:t>
      </w:r>
    </w:p>
    <w:p>
      <w:pPr>
        <w:pStyle w:val="TextBody"/>
        <w:bidi w:val="0"/>
        <w:jc w:val="left"/>
        <w:rPr/>
      </w:pPr>
      <w:r>
        <w:rPr/>
        <w:t> </w:t>
      </w:r>
    </w:p>
    <w:tbl>
      <w:tblPr>
        <w:tblW w:w="10555" w:type="dxa"/>
        <w:jc w:val="left"/>
        <w:tblInd w:w="0" w:type="dxa"/>
        <w:tblLayout w:type="fixed"/>
        <w:tblCellMar>
          <w:top w:w="28" w:type="dxa"/>
          <w:left w:w="28" w:type="dxa"/>
          <w:bottom w:w="28" w:type="dxa"/>
          <w:right w:w="28" w:type="dxa"/>
        </w:tblCellMar>
      </w:tblPr>
      <w:tblGrid>
        <w:gridCol w:w="1131"/>
        <w:gridCol w:w="146"/>
        <w:gridCol w:w="146"/>
        <w:gridCol w:w="811"/>
        <w:gridCol w:w="151"/>
        <w:gridCol w:w="146"/>
        <w:gridCol w:w="181"/>
        <w:gridCol w:w="631"/>
        <w:gridCol w:w="151"/>
        <w:gridCol w:w="146"/>
        <w:gridCol w:w="146"/>
        <w:gridCol w:w="146"/>
        <w:gridCol w:w="766"/>
        <w:gridCol w:w="146"/>
        <w:gridCol w:w="146"/>
        <w:gridCol w:w="196"/>
        <w:gridCol w:w="375"/>
        <w:gridCol w:w="146"/>
        <w:gridCol w:w="146"/>
        <w:gridCol w:w="181"/>
        <w:gridCol w:w="586"/>
        <w:gridCol w:w="146"/>
        <w:gridCol w:w="146"/>
        <w:gridCol w:w="350"/>
        <w:gridCol w:w="671"/>
        <w:gridCol w:w="146"/>
        <w:gridCol w:w="146"/>
        <w:gridCol w:w="194"/>
        <w:gridCol w:w="677"/>
        <w:gridCol w:w="151"/>
        <w:gridCol w:w="146"/>
        <w:gridCol w:w="197"/>
        <w:gridCol w:w="689"/>
        <w:gridCol w:w="276"/>
      </w:tblGrid>
      <w:tr>
        <w:trPr/>
        <w:tc>
          <w:tcPr>
            <w:tcW w:w="1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17,228,954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321,373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6,667,793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51,311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(296,737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(245,360</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Conversion of convertible preferred stock into common stock 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(17,228,954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(321,373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19,827,003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321,371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321,373</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20"/>
              </w:rPr>
            </w:pPr>
            <w:r>
              <w:rPr>
                <w:rFonts w:ascii="Times New Roman" w:hAnsi="Times New Roman"/>
                <w:color w:val="000000"/>
                <w:sz w:val="13"/>
              </w:rPr>
              <w:t>Issuance of common stock in initial public offering, net of underwriting discounts and commissions and offering costs of $21.7</w:t>
            </w:r>
            <w:r>
              <w:rPr>
                <w:rFonts w:ascii="Times New Roman" w:hAnsi="Times New Roman"/>
                <w:color w:val="000000"/>
                <w:sz w:val="20"/>
              </w:rPr>
              <w:t> </w:t>
            </w:r>
            <w:r>
              <w:rPr>
                <w:rFonts w:ascii="Times New Roman" w:hAnsi="Times New Roman"/>
                <w:color w:val="000000"/>
                <w:sz w:val="13"/>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12,475,000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190,378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190,379</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20"/>
              </w:rPr>
            </w:pPr>
            <w:r>
              <w:rPr>
                <w:rFonts w:ascii="Times New Roman" w:hAnsi="Times New Roman"/>
                <w:color w:val="000000"/>
                <w:sz w:val="13"/>
              </w:rPr>
              <w:t>Issuance of common stock under private placement offering, net of offering costs of $1.4</w:t>
            </w:r>
            <w:r>
              <w:rPr>
                <w:rFonts w:ascii="Times New Roman" w:hAnsi="Times New Roman"/>
                <w:color w:val="000000"/>
                <w:sz w:val="20"/>
              </w:rPr>
              <w:t> </w:t>
            </w:r>
            <w:r>
              <w:rPr>
                <w:rFonts w:ascii="Times New Roman" w:hAnsi="Times New Roman"/>
                <w:color w:val="000000"/>
                <w:sz w:val="13"/>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15,591</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Reclassification of convertible preferred stock and common stock warrants into common stock 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3,369,473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57,348</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104,490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7,603</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Unrealized gain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13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(45,525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(45,525</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43,465,136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643,742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(342,262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301,633</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u w:val="single"/>
        </w:rPr>
      </w:pPr>
      <w:r>
        <w:rPr>
          <w:rFonts w:ascii="Times New Roman" w:hAnsi="Times New Roman"/>
          <w:b/>
          <w:color w:val="231F20"/>
          <w:sz w:val="20"/>
          <w:u w:val="single"/>
        </w:rPr>
        <w:t>Three months ended June 30,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0"/>
        <w:gridCol w:w="146"/>
        <w:gridCol w:w="151"/>
        <w:gridCol w:w="360"/>
        <w:gridCol w:w="146"/>
        <w:gridCol w:w="146"/>
        <w:gridCol w:w="196"/>
        <w:gridCol w:w="375"/>
        <w:gridCol w:w="146"/>
        <w:gridCol w:w="146"/>
        <w:gridCol w:w="146"/>
        <w:gridCol w:w="146"/>
        <w:gridCol w:w="766"/>
        <w:gridCol w:w="146"/>
        <w:gridCol w:w="146"/>
        <w:gridCol w:w="196"/>
        <w:gridCol w:w="375"/>
        <w:gridCol w:w="146"/>
        <w:gridCol w:w="146"/>
        <w:gridCol w:w="181"/>
        <w:gridCol w:w="586"/>
        <w:gridCol w:w="146"/>
        <w:gridCol w:w="146"/>
        <w:gridCol w:w="350"/>
        <w:gridCol w:w="671"/>
        <w:gridCol w:w="151"/>
        <w:gridCol w:w="146"/>
        <w:gridCol w:w="194"/>
        <w:gridCol w:w="677"/>
        <w:gridCol w:w="151"/>
        <w:gridCol w:w="146"/>
        <w:gridCol w:w="209"/>
        <w:gridCol w:w="678"/>
        <w:gridCol w:w="278"/>
      </w:tblGrid>
      <w:tr>
        <w:trPr/>
        <w:tc>
          <w:tcPr>
            <w:tcW w:w="14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Convertible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Total</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Stockholders'</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Equity</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43,353,890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638,901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(325,393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313,752</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Conversion of convertible preferred stock into common stock 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20"/>
              </w:rPr>
            </w:pPr>
            <w:r>
              <w:rPr>
                <w:rFonts w:ascii="Times New Roman" w:hAnsi="Times New Roman"/>
                <w:color w:val="000000"/>
                <w:sz w:val="13"/>
              </w:rPr>
              <w:t>Issuance of common stock in initial public offering, net of underwriting discounts and commissions and offering costs of $21.7</w:t>
            </w:r>
            <w:r>
              <w:rPr>
                <w:rFonts w:ascii="Times New Roman" w:hAnsi="Times New Roman"/>
                <w:color w:val="000000"/>
                <w:sz w:val="20"/>
              </w:rPr>
              <w:t> </w:t>
            </w:r>
            <w:r>
              <w:rPr>
                <w:rFonts w:ascii="Times New Roman" w:hAnsi="Times New Roman"/>
                <w:color w:val="000000"/>
                <w:sz w:val="13"/>
              </w:rPr>
              <w:t>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20"/>
              </w:rPr>
            </w:pPr>
            <w:r>
              <w:rPr>
                <w:rFonts w:ascii="Times New Roman" w:hAnsi="Times New Roman"/>
                <w:color w:val="000000"/>
                <w:sz w:val="13"/>
              </w:rPr>
              <w:t>Issuance of common stock under private placement offering, net of offering costs of $1.4</w:t>
            </w:r>
            <w:r>
              <w:rPr>
                <w:rFonts w:ascii="Times New Roman" w:hAnsi="Times New Roman"/>
                <w:color w:val="000000"/>
                <w:sz w:val="20"/>
              </w:rPr>
              <w:t> </w:t>
            </w:r>
            <w:r>
              <w:rPr>
                <w:rFonts w:ascii="Times New Roman" w:hAnsi="Times New Roman"/>
                <w:color w:val="000000"/>
                <w:sz w:val="13"/>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Reclassification of convertible preferred stock and common stock warrants into common stock 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104,490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4,799</w:t>
            </w:r>
          </w:p>
        </w:tc>
        <w:tc>
          <w:tcPr>
            <w:tcW w:w="278"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Unrealized gain (loss) on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(91</w:t>
            </w:r>
          </w:p>
        </w:tc>
        <w:tc>
          <w:tcPr>
            <w:tcW w:w="278"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470"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(16,869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(16,869</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4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43,465,136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643,742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(342,262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301,633</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231F20"/>
          <w:sz w:val="20"/>
        </w:rPr>
      </w:pPr>
      <w:r>
        <w:rPr>
          <w:rFonts w:ascii="Times New Roman" w:hAnsi="Times New Roman"/>
          <w:color w:val="231F2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sz w:val="20"/>
        </w:rPr>
      </w:pPr>
      <w:bookmarkStart w:id="7" w:name="condensed_statements_of_cash_flows"/>
      <w:bookmarkEnd w:id="7"/>
      <w:r>
        <w:rPr>
          <w:rFonts w:ascii="Times New Roman" w:hAnsi="Times New Roman"/>
          <w:b/>
          <w:color w:val="000000"/>
          <w:sz w:val="20"/>
        </w:rPr>
        <w:t xml:space="preserve">CONDENSED </w:t>
      </w:r>
      <w:r>
        <w:rPr>
          <w:rFonts w:ascii="Times New Roman" w:hAnsi="Times New Roman"/>
          <w:b/>
          <w:color w:val="231F20"/>
          <w:sz w:val="20"/>
        </w:rPr>
        <w:t>STATEMENTS OF CASH FLOWS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332"/>
        <w:gridCol w:w="146"/>
        <w:gridCol w:w="196"/>
        <w:gridCol w:w="661"/>
        <w:gridCol w:w="166"/>
        <w:gridCol w:w="146"/>
        <w:gridCol w:w="196"/>
        <w:gridCol w:w="751"/>
        <w:gridCol w:w="611"/>
      </w:tblGrid>
      <w:tr>
        <w:trPr/>
        <w:tc>
          <w:tcPr>
            <w:tcW w:w="7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(45,525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Provision for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7,603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provision (recovery) for excess and obsolete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Amortization of premium (discount) on short-term and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Amortization of 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(38,454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(33,569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(190,768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(44,812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(31,069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maturities and redemptions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51,000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(172,949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issuance of common stock, net of underwriting discounts, commissions and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195,430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issuance of common stock from private placement,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15,591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stock option exercises and employee stock purchase plan issuances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211,161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non-cash investing and financing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Reclassification of long-term investments to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45,322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79,838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Conversion of convertible preferred stock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321,373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Conversion of warrants net exercise upon initial public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57,348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Reclassification of deferred offering costs to equity upon initial public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Reconciliation of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35,075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cash, cash equivalents and restricted cash shown in the statement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44,418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35,175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231F20"/>
          <w:sz w:val="20"/>
        </w:rPr>
      </w:pPr>
      <w:r>
        <w:rPr>
          <w:rFonts w:ascii="Times New Roman" w:hAnsi="Times New Roman"/>
          <w:color w:val="231F20"/>
          <w:sz w:val="20"/>
        </w:rPr>
        <w:t>The accompanying notes are an integral part of these unaudited condensed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BETA BIONICS, INC.</w:t>
      </w:r>
    </w:p>
    <w:p>
      <w:pPr>
        <w:pStyle w:val="TextBody"/>
        <w:bidi w:val="0"/>
        <w:spacing w:before="120" w:after="283"/>
        <w:jc w:val="center"/>
        <w:rPr>
          <w:rFonts w:ascii="Times New Roman" w:hAnsi="Times New Roman"/>
          <w:b/>
          <w:color w:val="231F20"/>
          <w:sz w:val="20"/>
        </w:rPr>
      </w:pPr>
      <w:bookmarkStart w:id="8" w:name="notes_to_financial_statements"/>
      <w:bookmarkEnd w:id="8"/>
      <w:r>
        <w:rPr>
          <w:rFonts w:ascii="Times New Roman" w:hAnsi="Times New Roman"/>
          <w:b/>
          <w:color w:val="231F20"/>
          <w:sz w:val="20"/>
        </w:rPr>
        <w:t>NOTES TO FINANCIAL STATEMENTS</w:t>
      </w:r>
    </w:p>
    <w:p>
      <w:pPr>
        <w:pStyle w:val="TextBody"/>
        <w:bidi w:val="0"/>
        <w:spacing w:before="120" w:after="283"/>
        <w:jc w:val="center"/>
        <w:rPr>
          <w:rFonts w:ascii="Times New Roman" w:hAnsi="Times New Roman"/>
          <w:b/>
          <w:color w:val="231F20"/>
          <w:sz w:val="20"/>
        </w:rPr>
      </w:pPr>
      <w:r>
        <w:rPr>
          <w:rFonts w:ascii="Times New Roman" w:hAnsi="Times New Roman"/>
          <w:b/>
          <w:color w:val="231F20"/>
          <w:sz w:val="20"/>
        </w:rPr>
        <w:t>(Unaudited)</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1.</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Organization and Basis of Presentation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Company</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Beta Bionics, Inc. (the “Company”) is a commercial-stage medical device company focused on the design, development and commercialization of solutions to improve the health and quality of life of insulin-requiring people with diabetes (PWD) through the use of adaptive closed-loop algorithms. The Company was incorporated as a Massachusetts benefit corporation in October 2015 and converted to a Delaware corporation in August 2024. The Company’s product, the iLet, was cleared by the U.S. Food and Drug Administration in May 2023 for the treatment of type 1 diabetes in adults and children six years of age and older, and the Company commenced U.S. commercialization in May 2023.</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 has devoted its resources to research and development, manufacturing scale-up and commercialization of its products. The Company has funded its operations primarily through equity financings and revenue from product sales.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unaudited condensed financial statements have been prepared pursuant to the rules and regulations of the U.S. Securities and Exchange Commission applicable to interim financial information. Certain information and footnote disclosures normally included in annual financial statements prepared in accordance with generally accepted accounting principles in the United States (“GAAP”) have been condensed or omitted pursuant to such rules and regulations. Any reference in these notes to applicable guidance is meant to refer to the authoritative GAAP as found in the Accounting Standards Codification (“ASC”).</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Interim financial results are not necessarily indicative of results anticipated for the full year or any other period(s). These unaudited condensed financial statements should be read in conjunction with the audited financial statements and the notes thereto included in the Company’s Annual Report on Form 10-K for the fiscal year ended December 31, 2025 (“2025 Annual Report”).</w:t>
      </w:r>
    </w:p>
    <w:p>
      <w:pPr>
        <w:pStyle w:val="TextBody"/>
        <w:bidi w:val="0"/>
        <w:spacing w:before="360" w:after="283"/>
        <w:jc w:val="left"/>
        <w:rPr>
          <w:rFonts w:ascii="Times New Roman" w:hAnsi="Times New Roman"/>
          <w:sz w:val="20"/>
        </w:rPr>
      </w:pPr>
      <w:r>
        <w:rPr>
          <w:rFonts w:ascii="Times New Roman" w:hAnsi="Times New Roman"/>
          <w:b/>
          <w:i/>
          <w:color w:val="000000"/>
          <w:sz w:val="20"/>
        </w:rPr>
        <w:t>Emerging Growth Company Status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is an emerging growth company, as defined in the JOBS Act, enacted in 2012. Under the JOBS Act, emerging growth companies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Significant estimates and assumptions reflected in these financial statements include, but are not limited to, certain judgments regarding revenue recognition, including variable consideration, inventory valuation, warranty reserve and valuation of stock-based compensation awards. The Company bases its estimates on historical experience, known trends and other market-specific or other relevant assumptions that it believes to be reasonable under the circumstances. On an ongoing basis, management evaluates its estimates as there are changes in circumstances, facts, and experience. Changes in estimates are recorded in the period in which they become known. Actual results may differ from those estimates or assumptions.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Short-Term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its short-term investments as available-for-sale securities. Available-for-sale securities are carried at fair value with net unrealized gains and losses reported as a component of accumulated other comprehensive income (loss) in stockholders’ equity and as a component of other comprehensive income (loss) within the statements of operations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The Company determines realized gains or losses on the sale of available-for-sale securities using the specific identification method and includes net realized gains and losses as a component of other income or expense within the statements of operations and comprehensive loss. The Company periodically evaluates its short-term investments for credit losses, considering the significance of the decline in value and the market and economy in general. The Company has not recognized any impairment losses related to its short-term investments during the six months ended June 30, 2026 and 2025. All short-term investments are classified as current based on the nature of the investments and their availability for use in current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Long-Term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investments include U.S. Treasury securities with maturities of 12 months or more. The Company classifies its long-term investments as available-for-sale securities. Available-for-sale securities are carried at fair value, with net unrealized gains and losses reported as a component of accumulated other comprehensive income (loss) in stockholders’ equity and as a component of other comprehensive income (loss) within the statements of operations and comprehensive loss. The Company determines realized gains or losses on the sale of available-for-sale securities using the specific identification method and includes net realized gains and losses as a component of other income (expense), net within the statements of operations and comprehensive loss. The Company periodically evaluates its available-for-sale securities in unrealized loss positions to determine whether a credit loss exists. If a U.S. Treasury security has an unrealized loss and the Company either intends to sell the security or it is more likely than not that the Company will be required to sell the security before recovery of its amortized cost basis, the Company will recognize an impairment charge in other income (expense), net for the entire amount of the unrealized loss and adjust the amortized cost basis of the security. The Company has not recognized any impairment losses related to its long-term investments during the six months ended June 30, 2026 and 2025. All long-term investments are classified as noncurrent based on the nature of the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Concentrations of Credit Risk and of Significant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expose the Company to concentrations of credit risk primarily consist of cash and cash equivalents and short-term and long-term investments. The Company maintains its cash and cash equivalents in accounts at multiple accredited financial institutions and short-term and long-term investments in custodian accounts, in excess of federally insured limits. Additionally, the Company has established guidelines regarding investment instruments and their maturities, which are designed to maintain preservation of principal and liquidity. The Company does not believe that it is subject to unusual risk beyond the normal credit risk associated with commercial banking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exposed to concentration risk as it relates to its customers. The following table summarizes the percentages of total sales and accounts receivable, net for customers who accounted for 10% or more of the respective amounts for the periods presented:</w:t>
      </w:r>
    </w:p>
    <w:p>
      <w:pPr>
        <w:pStyle w:val="TextBody"/>
        <w:bidi w:val="0"/>
        <w:jc w:val="left"/>
        <w:rPr/>
      </w:pPr>
      <w:r>
        <w:rPr/>
        <w:t> </w:t>
      </w:r>
    </w:p>
    <w:tbl>
      <w:tblPr>
        <w:tblW w:w="7966" w:type="dxa"/>
        <w:jc w:val="left"/>
        <w:tblInd w:w="0" w:type="dxa"/>
        <w:tblLayout w:type="fixed"/>
        <w:tblCellMar>
          <w:top w:w="28" w:type="dxa"/>
          <w:left w:w="28" w:type="dxa"/>
          <w:bottom w:w="28" w:type="dxa"/>
          <w:right w:w="28" w:type="dxa"/>
        </w:tblCellMar>
      </w:tblPr>
      <w:tblGrid>
        <w:gridCol w:w="1186"/>
        <w:gridCol w:w="146"/>
        <w:gridCol w:w="1015"/>
        <w:gridCol w:w="234"/>
        <w:gridCol w:w="1015"/>
        <w:gridCol w:w="146"/>
        <w:gridCol w:w="928"/>
        <w:gridCol w:w="214"/>
        <w:gridCol w:w="928"/>
        <w:gridCol w:w="146"/>
        <w:gridCol w:w="721"/>
        <w:gridCol w:w="146"/>
        <w:gridCol w:w="114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Accounts Receivable, net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14.6%</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14.0%</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19.4%</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14.4%</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Distributor 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Amount related to the respective customer represented less than 10% for the period presented.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Certain assets and liabilities are carried at fair value under GAAP. Fair value is defined as the price received to sell an asset or paid to transfer a liability in an orderly transaction between market participants at the measurement date. When determining the fair value measurements for assets and liabilities required to be recorded at their fair values, the Company considers the principal or most advantageous market in which it would transact and considers assumptions that market participants would use when pricing the assets or liabilities, such as inherent risk, transfer restrictions and risk of nonperformance. Valuation techniques used to measure fair value must maximize the use of observable inputs and minimize the use of unobservable inputs. Financial assets and liabilities carried at fair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value are classified and disclosed in one of the following three levels of the fair value hierarchy, of which the first two are considered observable and the last is considered unobservable:</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723"/>
        <w:gridCol w:w="9321"/>
      </w:tblGrid>
      <w:tr>
        <w:trPr/>
        <w:tc>
          <w:tcPr>
            <w:tcW w:w="16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93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1 —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Quoted prices in active markets for identical assets or liabilities.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Level 2 —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3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Unobservable inputs that are supported by little or no market activity and that are significant to determining the fair value of the assets or liabilities, including pricing models, discounted cash flow methodologies, and similar techniques.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Company’s cash equivalents, restricted cash, short-term investments and long-term investments are carried at fair value, determined according to the fair value hierarchy described above (see Note 4). The fair values of the Company’s accounts receivable, accounts payable and accrued expenses approximate their carrying values due to the short-term nature of these assets and liabilities.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Leases include all agreements in which the Company obtains control of an identified asset. A lease liability is recognized at commencement date based on the present value of the lease payments over the lease term. When available, the Company uses the rate implicit in the lease to discount lease payments to present value; otherwise, the Company estimates the incremental borrowing rate to discount the lease payments based on information available at lease commencement (see Note 14).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leases have initial lease terms of approximately one to six years, with some including options to extend for up to five additional years. If a lease includes options to extend the lease term, the Company only includes the periods it is reasonably certain to exercise as of the lease commencement date. The decision to exercise lease renewal options is at the Company’s sole discretion. Variable lease costs, including maintenance and utilities, real estate taxes, and insurance are expensed as incurred and excluded from the measurement of the lease liability. Lease agreements that include lease and non-lease components are accounted for as a single lease component. Leases with an initial term of 12 months or less are expensed and not recorded on the balance sheet. The Company’s leases provide for fixed rental payments with annual rent escalations. The Company does not have any leases that are classified as financing leases.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Chief Executive Officer is the Company’s CODM. The CODM reviews financial information presented on a total company basis for purposes of making operating decisions, allocating resources, and evaluating financial performance. As such, the Company has determined that it operates as one operating segment. The measure of segment assets is presented as total assets in the balance sheets. The Company has concluded that gross profit and net income (loss) are the primary measures of segment profit or loss used by the CODM. The CODM assesses performance for the Company, monitors budget versus actual results, and determines how to allocate resources based on net income (loss) as reported in the statements of operations and comprehensive loss. There are no other expense categories regularly provided to the CODM that are not already included in the primary financial statements herein. During the six months ended June 30, 2026 and 2025, the Company did not generate any international revenues and as of June 30, 2026 and December 31, 2025, the Company did not have a material amount of assets located outside of the United States.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generated primarily from sales of the iLet and its associated single-use products, such as cartridges for insulin storage and delivery, and infusion sets that connect the iLet to a user’s body. These products are distributed through a network of distributors and pharmacies, which then resell the products to insulin-requiring PWD. The Company recognizes revenue when it transfers control of the promised goods or services to its distributor and pharmacy customers in an amount that reflects the consideration to which the Company expects to be entitled in exchange for those goods or services, net of estimated returns and estimated variable consideration adjustments, including rebates, patient assistance and chargebacks.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 Recognition for Arrangements with Multiple Performance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the individual deliverables in its contracts with customers as separate performance obligations. The iLet and single-use products that are used together with the iLet are deemed performance obligations that are satisfied at a point in time when the customer obtains control of the promised good, which typically is upon shipment. The Company has determined that the user’s ability to access the mobile application and receive unspecified software updates through the mobile application are considered distinct performance obligations that are satisfied over time, as access and support are provided throughout the typical four-year warranty period of the iLet. Accordingly, revenue related to access to the mobile application and unspecified software updates is deferred and recognized ratably over a four-year period. Given that access to the mobile application and unspecified software updates follow the same pattern of transfer to the customer and are provided over the same four-year period, the Company recognizes revenue for these performance obligations as if they were a single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transaction price is determined based on the consideration expected to be received, based on the stated value in contractual arrangements. The Company allocates the consideration to the individual performance obligations based on the estimated relative standalone selling price of the performance obligations and recognizes the consideration based on when the performance obligation is satisfied, considering whether or not this occurs at a point in time or over time. Where there is no observable standalone selling price, the Company estimates standalone selling price by applying the expected cost plus a margin approach.</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Variable Consideration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amount of variable consideration that is included in the transaction price is included in revenue only to the extent that it is probable that a significant reversal in the amount of the cumulative revenue recognized will not occur in a future period. The Company estimates reductions to revenues for rebates paid to pharmacy benefit managers. Rebates are based on contractual arrangements, which may vary by customer. The estimates are based on products sold, historical experience, trends, specific known market events and, as available, channel inventory data. Provisions for rebates and patient assistance are accounted for as a reduction of sales when revenue is recognized and are included within accrued expenses and other current liabilities within the balance sheets. Provisions for chargebacks are accounted for as a reduction of sales when revenue is recognized and are included as a reduction of accounts receivable, net within the balance sheets, as the right of offset exists. If the actual amounts of consideration that the Company receives differ from estimates, the Company adjusts these estimates, which affects reported revenue, in the period that such variances become known or at the end of each reporting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Returns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offers a 90-day right of return from the date of shipment of its iLet from one of its authorized distributors, provided a physician’s confirmation of the good faith medical reason for the return is received. Estimated allowances for sales returns are based on historical returned quantities as compared to iLet shipments in those same periods of return, adjusted for known or expected changes in the marketplace when appropriate. Actual product returns have not differed materially from estimated amounts recorded in the accompanying financial statements.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Contract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an asset for incremental costs of obtaining a contract with a customer if it expects to recover those costs. The Company has elected the practical expedient to expense the costs as they are incurred, within sales and marketing expenses, since the amortization period is less than one year.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Product Warranty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provides a four-year warranty on the iLet to end-users to replace any iLets that do not function as intended in accordance with the product specifications. Estimated warranty costs are recorded at the time of shipment. Warranty costs are estimated primarily based on the current expected product replacement cost and expected replacement rates which utilize management’s understanding of the hardware and factor in a patient attrition rate to reserve for only the active patient population using the pump. Although the Company’s history of product sales is limited, management also utilizes historical warranty cost data to reevaluate the estimated warranty obligation on a regular basis. Product returns and warranty replacements to date have been consistent with amounts accrued. Warranty expense is recorded as a component of cost of sales in the statements of operations and comprehensive loss.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Reconciliations of the changes in the Company’s product warranty liability for the three and six months ended June 30, 2026 and 2025 were as follows:</w:t>
      </w:r>
    </w:p>
    <w:p>
      <w:pPr>
        <w:pStyle w:val="TextBody"/>
        <w:bidi w:val="0"/>
        <w:spacing w:before="40" w:after="283"/>
        <w:jc w:val="left"/>
        <w:rPr/>
      </w:pPr>
      <w:r>
        <w:rPr/>
        <w:t> </w:t>
      </w:r>
    </w:p>
    <w:tbl>
      <w:tblPr>
        <w:tblW w:w="9065" w:type="dxa"/>
        <w:jc w:val="left"/>
        <w:tblInd w:w="0" w:type="dxa"/>
        <w:tblLayout w:type="fixed"/>
        <w:tblCellMar>
          <w:top w:w="28" w:type="dxa"/>
          <w:left w:w="28" w:type="dxa"/>
          <w:bottom w:w="28" w:type="dxa"/>
          <w:right w:w="28" w:type="dxa"/>
        </w:tblCellMar>
      </w:tblPr>
      <w:tblGrid>
        <w:gridCol w:w="4066"/>
        <w:gridCol w:w="146"/>
        <w:gridCol w:w="254"/>
        <w:gridCol w:w="689"/>
        <w:gridCol w:w="200"/>
        <w:gridCol w:w="176"/>
        <w:gridCol w:w="254"/>
        <w:gridCol w:w="689"/>
        <w:gridCol w:w="166"/>
        <w:gridCol w:w="146"/>
        <w:gridCol w:w="225"/>
        <w:gridCol w:w="675"/>
        <w:gridCol w:w="177"/>
        <w:gridCol w:w="156"/>
        <w:gridCol w:w="225"/>
        <w:gridCol w:w="610"/>
        <w:gridCol w:w="2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liability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 fulfillment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warranty liability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June 30, 2026 and December 31, 2025, total product warranty reserves were included in the following balance sheet accounts:</w:t>
      </w:r>
    </w:p>
    <w:p>
      <w:pPr>
        <w:pStyle w:val="TextBody"/>
        <w:bidi w:val="0"/>
        <w:spacing w:before="120" w:after="283"/>
        <w:jc w:val="left"/>
        <w:rPr/>
      </w:pPr>
      <w:r>
        <w:rPr/>
        <w:t> </w:t>
      </w:r>
    </w:p>
    <w:tbl>
      <w:tblPr>
        <w:tblW w:w="6332" w:type="dxa"/>
        <w:jc w:val="left"/>
        <w:tblInd w:w="0" w:type="dxa"/>
        <w:tblLayout w:type="fixed"/>
        <w:tblCellMar>
          <w:top w:w="28" w:type="dxa"/>
          <w:left w:w="28" w:type="dxa"/>
          <w:bottom w:w="28" w:type="dxa"/>
          <w:right w:w="28" w:type="dxa"/>
        </w:tblCellMar>
      </w:tblPr>
      <w:tblGrid>
        <w:gridCol w:w="3826"/>
        <w:gridCol w:w="146"/>
        <w:gridCol w:w="211"/>
        <w:gridCol w:w="571"/>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warranty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computed by dividing net loss attributable to common stockholders by the weighted-average number of shares of common stock outstanding during the period. Diluted net loss per share is computed by giving effect to all potentially dilutive securities outstanding during the period, unless their effect is anti-dilutive. Potentially dilutive securities include stock options and restricted stock units. The amounts presented below represent potentially dilutive securities outstanding as of the end of each period, including both vested and unvested awards, that were excluded from the calculation of diluted net loss per share as their effect would have been anti-dilutive.</w:t>
      </w:r>
    </w:p>
    <w:p>
      <w:pPr>
        <w:pStyle w:val="TextBody"/>
        <w:bidi w:val="0"/>
        <w:spacing w:before="40" w:after="283"/>
        <w:jc w:val="left"/>
        <w:rPr/>
      </w:pPr>
      <w:r>
        <w:rPr/>
        <w:t> </w:t>
      </w:r>
    </w:p>
    <w:tbl>
      <w:tblPr>
        <w:tblW w:w="6434" w:type="dxa"/>
        <w:jc w:val="left"/>
        <w:tblInd w:w="0" w:type="dxa"/>
        <w:tblLayout w:type="fixed"/>
        <w:tblCellMar>
          <w:top w:w="28" w:type="dxa"/>
          <w:left w:w="28" w:type="dxa"/>
          <w:bottom w:w="28" w:type="dxa"/>
          <w:right w:w="28" w:type="dxa"/>
        </w:tblCellMar>
      </w:tblPr>
      <w:tblGrid>
        <w:gridCol w:w="3451"/>
        <w:gridCol w:w="146"/>
        <w:gridCol w:w="146"/>
        <w:gridCol w:w="931"/>
        <w:gridCol w:w="146"/>
        <w:gridCol w:w="146"/>
        <w:gridCol w:w="146"/>
        <w:gridCol w:w="931"/>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6,913,527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7,232,527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887,963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9,337,688</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8,120,490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and 2025, there was no difference in the weighted average number of shares used to calculate basic and diluted net loss per share due to the Company’s net loss position in each period.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July 2025, FASB issued ASU 2025-05, </w:t>
      </w:r>
      <w:r>
        <w:rPr>
          <w:rFonts w:ascii="Times New Roman" w:hAnsi="Times New Roman"/>
          <w:i/>
          <w:color w:val="000000"/>
          <w:sz w:val="20"/>
        </w:rPr>
        <w:t>Credit Losses (Topic 326) – Measurement of Credit Losses for Accounts Receivable and Contract Assets</w:t>
      </w:r>
      <w:r>
        <w:rPr>
          <w:rFonts w:ascii="Times New Roman" w:hAnsi="Times New Roman"/>
          <w:color w:val="000000"/>
          <w:sz w:val="20"/>
        </w:rPr>
        <w:t>, which provides a practical expedient to assume that the current conditions as of the balance sheet date will remain unchanged for the remaining life of the asset when developing a reasonable and supportable forecast as part of estimating expected credit losses on current accounts receivable and current contract assets arising from revenue transactions. The Company adopted ASU 2025-05 on January 1, 2026. The adoption of this guidance did not have a material impact on the Company’s financial statements.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 (ASU 2024-03)</w:t>
      </w:r>
      <w:r>
        <w:rPr>
          <w:rFonts w:ascii="Times New Roman" w:hAnsi="Times New Roman"/>
          <w:color w:val="000000"/>
          <w:sz w:val="20"/>
        </w:rPr>
        <w:t xml:space="preserve">, and in January 2025, the FASB issued ASU 2025-01, </w:t>
      </w:r>
      <w:r>
        <w:rPr>
          <w:rFonts w:ascii="Times New Roman" w:hAnsi="Times New Roman"/>
          <w:i/>
          <w:color w:val="000000"/>
          <w:sz w:val="20"/>
        </w:rPr>
        <w:t>Income Statement - Reporting Comprehensive Income - Expense Disaggregation Disclosures (Subtopic 220-40): Clarifying the Effective Date</w:t>
      </w:r>
      <w:r>
        <w:rPr>
          <w:rFonts w:ascii="Times New Roman" w:hAnsi="Times New Roman"/>
          <w:color w:val="000000"/>
          <w:sz w:val="20"/>
        </w:rPr>
        <w:t xml:space="preserv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15, 2026, and interim periods within fiscal years beginning after December 15, 2027, with early adoption permitted. The Company is currently evaluating the impact that this guidance may have on its financial statements.</w:t>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3.</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net sales by product category and reimbursement channel, which the Company believes provides a meaningful depiction of how the nature, timing and uncertainty of net sales are affected by economic factors.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During the three and six months ended June 30, 2026 and 2025, the Company’s revenues were predominantly generated from sales of the iLet. The iLet requires the use of separately purchased single-use products which include cartridges for storing and delivering insulin, and infusion sets that connect the iLet to the user’s body. These single-use products generate recurring revenue for the Company, as these are typically replaced by the end-user every 2-3 days or as directed by a healthcare provider.</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Company’s customers are distributors and pharmacies who sell these products to insulin-requiring PWD, through the durable medical equipment (“DME”) and the pharmacy benefit plan (“PBP”) reimbursement channels, which entail differing payment outlays. For the three and six months ended June 30, 2026 and 2025, the majority of the Company’s sales were through the DME channel.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disaggregated revenues:</w:t>
      </w:r>
    </w:p>
    <w:p>
      <w:pPr>
        <w:pStyle w:val="TextBody"/>
        <w:bidi w:val="0"/>
        <w:spacing w:before="40" w:after="283"/>
        <w:jc w:val="left"/>
        <w:rPr/>
      </w:pPr>
      <w:r>
        <w:rPr/>
        <w:t> </w:t>
      </w:r>
    </w:p>
    <w:tbl>
      <w:tblPr>
        <w:tblW w:w="7087" w:type="dxa"/>
        <w:jc w:val="left"/>
        <w:tblInd w:w="0" w:type="dxa"/>
        <w:tblLayout w:type="fixed"/>
        <w:tblCellMar>
          <w:top w:w="28" w:type="dxa"/>
          <w:left w:w="28" w:type="dxa"/>
          <w:bottom w:w="28" w:type="dxa"/>
          <w:right w:w="28" w:type="dxa"/>
        </w:tblCellMar>
      </w:tblPr>
      <w:tblGrid>
        <w:gridCol w:w="1926"/>
        <w:gridCol w:w="146"/>
        <w:gridCol w:w="231"/>
        <w:gridCol w:w="741"/>
        <w:gridCol w:w="160"/>
        <w:gridCol w:w="160"/>
        <w:gridCol w:w="231"/>
        <w:gridCol w:w="741"/>
        <w:gridCol w:w="146"/>
        <w:gridCol w:w="146"/>
        <w:gridCol w:w="211"/>
        <w:gridCol w:w="677"/>
        <w:gridCol w:w="146"/>
        <w:gridCol w:w="146"/>
        <w:gridCol w:w="211"/>
        <w:gridCol w:w="677"/>
        <w:gridCol w:w="391"/>
      </w:tblGrid>
      <w:tr>
        <w:trPr/>
        <w:tc>
          <w:tcPr>
            <w:tcW w:w="1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DME channel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iLet</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Single-use products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7,762</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DME channel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PBP channel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iLet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Single-use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PBP channel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11,600</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32,013</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iLet includes the over-time recognition related to software updates and mobile app access.</w:t>
      </w:r>
    </w:p>
    <w:p>
      <w:pPr>
        <w:pStyle w:val="TextBody"/>
        <w:bidi w:val="0"/>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The Company recognizes revenue at a point in time once control has transferred to the customer, as well as over time for the performance obligation to provide ongoing services such as unspecified software updates. Revenue recognized during the six months ended June 30, 2026 that was included in the deferred revenue balance as of December 31, 2025 was approximately $0.8 million.</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At June 30, 2026 and December 31, 2025, $5.3 million and $4.9 million, respectively, were recorded as deferred revenue on the accompanying balance sheets for the portion of the transaction price allocated to performance obligations that were not yet satisfied. At June 30, 2026 and December 31, 2025, of the performance obligations not yet satisfied, $1.9 million and $1.6 million </w:t>
      </w:r>
      <w:r>
        <w:rPr>
          <w:rFonts w:ascii="Times New Roman" w:hAnsi="Times New Roman"/>
          <w:color w:val="000000"/>
          <w:sz w:val="20"/>
        </w:rPr>
        <w:t>for each period</w:t>
      </w:r>
      <w:r>
        <w:rPr>
          <w:rFonts w:ascii="Times New Roman" w:hAnsi="Times New Roman"/>
          <w:color w:val="231F20"/>
          <w:sz w:val="20"/>
        </w:rPr>
        <w:t>, respectively, is expected to be recognized as revenue in the next 12 months, with the remainder expected to be recognized over the next 36 months. At June 30, 2026 and December 31, 2025, the $5.3 million and $4.9 million, respectively, relate to amounts deferred associated with the unspecified software updates promised to users and the users' access to the mobile application.</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4.</w:t>
      </w:r>
    </w:p>
    <w:p>
      <w:pPr>
        <w:pStyle w:val="TextBody"/>
        <w:bidi w:val="0"/>
        <w:spacing w:before="360" w:after="283"/>
        <w:jc w:val="left"/>
        <w:rPr>
          <w:rFonts w:ascii="Times New Roman" w:hAnsi="Times New Roman"/>
          <w:sz w:val="20"/>
        </w:rPr>
      </w:pPr>
      <w:r>
        <w:rPr>
          <w:rFonts w:ascii="Times New Roman" w:hAnsi="Times New Roman"/>
          <w:b/>
          <w:color w:val="231F20"/>
          <w:sz w:val="20"/>
        </w:rPr>
        <w:t>Financial Instruments and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tables present the Company’s fair value hierarchy for its assets and liabilities that are measured at fair value on a recurring basis:</w:t>
      </w:r>
    </w:p>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21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222,379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068" w:type="dxa"/>
        <w:jc w:val="left"/>
        <w:tblInd w:w="0" w:type="dxa"/>
        <w:tblLayout w:type="fixed"/>
        <w:tblCellMar>
          <w:top w:w="28" w:type="dxa"/>
          <w:left w:w="28" w:type="dxa"/>
          <w:bottom w:w="28" w:type="dxa"/>
          <w:right w:w="28" w:type="dxa"/>
        </w:tblCellMar>
      </w:tblPr>
      <w:tblGrid>
        <w:gridCol w:w="2211"/>
        <w:gridCol w:w="146"/>
        <w:gridCol w:w="211"/>
        <w:gridCol w:w="781"/>
        <w:gridCol w:w="146"/>
        <w:gridCol w:w="146"/>
        <w:gridCol w:w="239"/>
        <w:gridCol w:w="391"/>
        <w:gridCol w:w="146"/>
        <w:gridCol w:w="146"/>
        <w:gridCol w:w="239"/>
        <w:gridCol w:w="391"/>
        <w:gridCol w:w="146"/>
        <w:gridCol w:w="146"/>
        <w:gridCol w:w="211"/>
        <w:gridCol w:w="781"/>
        <w:gridCol w:w="59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259,329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231F20"/>
          <w:sz w:val="20"/>
        </w:rPr>
      </w:pPr>
      <w:r>
        <w:rPr>
          <w:rFonts w:ascii="Times New Roman" w:hAnsi="Times New Roman"/>
          <w:color w:val="231F20"/>
          <w:sz w:val="20"/>
        </w:rPr>
        <w:t>Money market funds and U.S. Treasury securities were valued by the Company based on quoted market prices, which represent a Level 1 measurement within the fair value hierarchy. There were no changes to the valuation methods during the six months ended June 30, 2026 and 2025. The Company evaluates transfers between levels at the end of each reporting period. There were no transfers between Level 1 or Level 2 during the six months ended June 30, 2026 and 2025.</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Warrant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Company’s initial public offering ("IPO") in January 2025, all outstanding warrant liabilities were remeasured and subsequently net exercised and reclassified to stockholders’ equity. No warrant liabilities were outstanding as of June 30, 2026 or December 31, 2025.</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60" w:after="283"/>
        <w:jc w:val="left"/>
        <w:rPr/>
      </w:pPr>
      <w:r>
        <w:rPr>
          <w:rFonts w:ascii="Times New Roman" w:hAnsi="Times New Roman"/>
          <w:b/>
          <w:color w:val="000000"/>
          <w:sz w:val="20"/>
        </w:rPr>
        <w:t>Short-Term</w:t>
      </w:r>
      <w:r>
        <w:rPr>
          <w:color w:val="000000"/>
        </w:rPr>
        <w:t xml:space="preserve"> </w:t>
      </w:r>
      <w:r>
        <w:rPr>
          <w:rFonts w:ascii="Times New Roman" w:hAnsi="Times New Roman"/>
          <w:b/>
          <w:color w:val="000000"/>
          <w:sz w:val="20"/>
        </w:rPr>
        <w:t>and Long-Term Investments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following represents a summary of the estimated fair value of short-term and long-term investments at June 30, 2026 and December 31, 2025:</w:t>
      </w:r>
    </w:p>
    <w:p>
      <w:pPr>
        <w:pStyle w:val="TextBody"/>
        <w:bidi w:val="0"/>
        <w:spacing w:before="40" w:after="283"/>
        <w:jc w:val="left"/>
        <w:rPr/>
      </w:pPr>
      <w:r>
        <w:rPr/>
        <w:t> </w:t>
      </w:r>
    </w:p>
    <w:tbl>
      <w:tblPr>
        <w:tblW w:w="7400" w:type="dxa"/>
        <w:jc w:val="left"/>
        <w:tblInd w:w="0" w:type="dxa"/>
        <w:tblLayout w:type="fixed"/>
        <w:tblCellMar>
          <w:top w:w="28" w:type="dxa"/>
          <w:left w:w="28" w:type="dxa"/>
          <w:bottom w:w="28" w:type="dxa"/>
          <w:right w:w="28" w:type="dxa"/>
        </w:tblCellMar>
      </w:tblPr>
      <w:tblGrid>
        <w:gridCol w:w="2211"/>
        <w:gridCol w:w="146"/>
        <w:gridCol w:w="211"/>
        <w:gridCol w:w="781"/>
        <w:gridCol w:w="146"/>
        <w:gridCol w:w="146"/>
        <w:gridCol w:w="335"/>
        <w:gridCol w:w="551"/>
        <w:gridCol w:w="146"/>
        <w:gridCol w:w="146"/>
        <w:gridCol w:w="270"/>
        <w:gridCol w:w="616"/>
        <w:gridCol w:w="166"/>
        <w:gridCol w:w="146"/>
        <w:gridCol w:w="211"/>
        <w:gridCol w:w="781"/>
        <w:gridCol w:w="39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tbl>
      <w:tblPr>
        <w:tblW w:w="7380" w:type="dxa"/>
        <w:jc w:val="left"/>
        <w:tblInd w:w="0" w:type="dxa"/>
        <w:tblLayout w:type="fixed"/>
        <w:tblCellMar>
          <w:top w:w="28" w:type="dxa"/>
          <w:left w:w="28" w:type="dxa"/>
          <w:bottom w:w="28" w:type="dxa"/>
          <w:right w:w="28" w:type="dxa"/>
        </w:tblCellMar>
      </w:tblPr>
      <w:tblGrid>
        <w:gridCol w:w="2211"/>
        <w:gridCol w:w="146"/>
        <w:gridCol w:w="211"/>
        <w:gridCol w:w="781"/>
        <w:gridCol w:w="146"/>
        <w:gridCol w:w="146"/>
        <w:gridCol w:w="295"/>
        <w:gridCol w:w="591"/>
        <w:gridCol w:w="146"/>
        <w:gridCol w:w="146"/>
        <w:gridCol w:w="335"/>
        <w:gridCol w:w="551"/>
        <w:gridCol w:w="146"/>
        <w:gridCol w:w="146"/>
        <w:gridCol w:w="211"/>
        <w:gridCol w:w="781"/>
        <w:gridCol w:w="391"/>
      </w:tblGrid>
      <w:tr>
        <w:trPr/>
        <w:tc>
          <w:tcPr>
            <w:tcW w:w="2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232,980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all available-for-sale debt securities in an unrealized loss position had been in a continuous unrealized loss position for less than 12 months. There were no available-for-sale debt securities in an unrealized loss position as of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represents the contractual maturities of available-for-sale debt securities as of June 30, 2026:</w:t>
      </w:r>
    </w:p>
    <w:p>
      <w:pPr>
        <w:pStyle w:val="TextBody"/>
        <w:bidi w:val="0"/>
        <w:jc w:val="left"/>
        <w:rPr/>
      </w:pPr>
      <w:r>
        <w:rPr/>
        <w:t> </w:t>
      </w:r>
    </w:p>
    <w:tbl>
      <w:tblPr>
        <w:tblW w:w="7643"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228"/>
        <w:gridCol w:w="732"/>
        <w:gridCol w:w="146"/>
        <w:gridCol w:w="146"/>
        <w:gridCol w:w="483"/>
        <w:gridCol w:w="792"/>
        <w:gridCol w:w="146"/>
        <w:gridCol w:w="146"/>
        <w:gridCol w:w="211"/>
        <w:gridCol w:w="781"/>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to Maturity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Within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One to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180,819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Accounts Receivable,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net consisted of the following:</w:t>
      </w:r>
    </w:p>
    <w:p>
      <w:pPr>
        <w:pStyle w:val="TextBody"/>
        <w:bidi w:val="0"/>
        <w:spacing w:before="40" w:after="283"/>
        <w:jc w:val="left"/>
        <w:rPr/>
      </w:pPr>
      <w:r>
        <w:rPr/>
        <w:t> </w:t>
      </w:r>
    </w:p>
    <w:tbl>
      <w:tblPr>
        <w:tblW w:w="5367" w:type="dxa"/>
        <w:jc w:val="left"/>
        <w:tblInd w:w="0" w:type="dxa"/>
        <w:tblLayout w:type="fixed"/>
        <w:tblCellMar>
          <w:top w:w="28" w:type="dxa"/>
          <w:left w:w="28" w:type="dxa"/>
          <w:bottom w:w="28" w:type="dxa"/>
          <w:right w:w="28" w:type="dxa"/>
        </w:tblCellMar>
      </w:tblPr>
      <w:tblGrid>
        <w:gridCol w:w="2716"/>
        <w:gridCol w:w="146"/>
        <w:gridCol w:w="211"/>
        <w:gridCol w:w="676"/>
        <w:gridCol w:w="166"/>
        <w:gridCol w:w="146"/>
        <w:gridCol w:w="260"/>
        <w:gridCol w:w="835"/>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Accounts receivable are stated at the amount expected to be collected. The allowance for credit losses reflects expected losses on accounts receivable based primarily on historical experience and customer credit quality. The allowance for credit losses and related write-offs were not material for the periods presented.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Inventories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Inventories consisted of the following:</w:t>
      </w:r>
    </w:p>
    <w:p>
      <w:pPr>
        <w:pStyle w:val="TextBody"/>
        <w:bidi w:val="0"/>
        <w:spacing w:before="40" w:after="283"/>
        <w:jc w:val="both"/>
        <w:rPr/>
      </w:pPr>
      <w:r>
        <w:rPr/>
        <w:t> </w:t>
      </w:r>
    </w:p>
    <w:tbl>
      <w:tblPr>
        <w:tblW w:w="4527" w:type="dxa"/>
        <w:jc w:val="left"/>
        <w:tblInd w:w="0" w:type="dxa"/>
        <w:tblLayout w:type="fixed"/>
        <w:tblCellMar>
          <w:top w:w="28" w:type="dxa"/>
          <w:left w:w="28" w:type="dxa"/>
          <w:bottom w:w="28" w:type="dxa"/>
          <w:right w:w="28" w:type="dxa"/>
        </w:tblCellMar>
      </w:tblPr>
      <w:tblGrid>
        <w:gridCol w:w="1716"/>
        <w:gridCol w:w="146"/>
        <w:gridCol w:w="211"/>
        <w:gridCol w:w="676"/>
        <w:gridCol w:w="146"/>
        <w:gridCol w:w="146"/>
        <w:gridCol w:w="260"/>
        <w:gridCol w:w="835"/>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8.</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Prepaid Expenses and Other Current Assets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Prepaid expenses and other current assets consisted of the following:</w:t>
      </w:r>
    </w:p>
    <w:p>
      <w:pPr>
        <w:pStyle w:val="TextBody"/>
        <w:bidi w:val="0"/>
        <w:spacing w:before="40" w:after="283"/>
        <w:jc w:val="both"/>
        <w:rPr/>
      </w:pPr>
      <w:r>
        <w:rPr/>
        <w:t> </w:t>
      </w:r>
    </w:p>
    <w:tbl>
      <w:tblPr>
        <w:tblW w:w="6547" w:type="dxa"/>
        <w:jc w:val="left"/>
        <w:tblInd w:w="0" w:type="dxa"/>
        <w:tblLayout w:type="fixed"/>
        <w:tblCellMar>
          <w:top w:w="28" w:type="dxa"/>
          <w:left w:w="28" w:type="dxa"/>
          <w:bottom w:w="28" w:type="dxa"/>
          <w:right w:w="28" w:type="dxa"/>
        </w:tblCellMar>
      </w:tblPr>
      <w:tblGrid>
        <w:gridCol w:w="3841"/>
        <w:gridCol w:w="146"/>
        <w:gridCol w:w="211"/>
        <w:gridCol w:w="571"/>
        <w:gridCol w:w="146"/>
        <w:gridCol w:w="146"/>
        <w:gridCol w:w="294"/>
        <w:gridCol w:w="801"/>
        <w:gridCol w:w="39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9"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consisted of the following:</w:t>
      </w:r>
    </w:p>
    <w:p>
      <w:pPr>
        <w:pStyle w:val="TextBody"/>
        <w:bidi w:val="0"/>
        <w:jc w:val="both"/>
        <w:rPr/>
      </w:pPr>
      <w:r>
        <w:rPr/>
        <w:t> </w:t>
      </w:r>
    </w:p>
    <w:tbl>
      <w:tblPr>
        <w:tblW w:w="7007" w:type="dxa"/>
        <w:jc w:val="left"/>
        <w:tblInd w:w="0" w:type="dxa"/>
        <w:tblLayout w:type="fixed"/>
        <w:tblCellMar>
          <w:top w:w="28" w:type="dxa"/>
          <w:left w:w="28" w:type="dxa"/>
          <w:bottom w:w="28" w:type="dxa"/>
          <w:right w:w="28" w:type="dxa"/>
        </w:tblCellMar>
      </w:tblPr>
      <w:tblGrid>
        <w:gridCol w:w="4156"/>
        <w:gridCol w:w="146"/>
        <w:gridCol w:w="211"/>
        <w:gridCol w:w="676"/>
        <w:gridCol w:w="166"/>
        <w:gridCol w:w="146"/>
        <w:gridCol w:w="260"/>
        <w:gridCol w:w="835"/>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sz w:val="20"/>
        </w:rPr>
      </w:pPr>
      <w:r>
        <w:rPr>
          <w:rFonts w:ascii="Times New Roman" w:hAnsi="Times New Roman"/>
          <w:color w:val="000000"/>
          <w:sz w:val="20"/>
        </w:rPr>
        <w:t xml:space="preserve">Depreciation expense was $1.3 million and </w:t>
      </w:r>
      <w:r>
        <w:rPr>
          <w:rFonts w:ascii="Times New Roman" w:hAnsi="Times New Roman"/>
          <w:color w:val="231F20"/>
          <w:sz w:val="20"/>
        </w:rPr>
        <w:t xml:space="preserve">$0.6 million </w:t>
      </w:r>
      <w:r>
        <w:rPr>
          <w:rFonts w:ascii="Times New Roman" w:hAnsi="Times New Roman"/>
          <w:color w:val="000000"/>
          <w:sz w:val="20"/>
        </w:rPr>
        <w:t>for the six months ended June 30, 2026 and 2025</w:t>
      </w:r>
      <w:r>
        <w:rPr>
          <w:rFonts w:ascii="Times New Roman" w:hAnsi="Times New Roman"/>
          <w:color w:val="231F20"/>
          <w:sz w:val="20"/>
        </w:rPr>
        <w:t>, respectively</w:t>
      </w:r>
      <w:r>
        <w:rPr>
          <w:rFonts w:ascii="Times New Roman" w:hAnsi="Times New Roman"/>
          <w:color w:val="000000"/>
          <w:sz w:val="20"/>
        </w:rPr>
        <w:t>.</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10.</w:t>
      </w:r>
    </w:p>
    <w:p>
      <w:pPr>
        <w:pStyle w:val="TextBody"/>
        <w:bidi w:val="0"/>
        <w:spacing w:before="360" w:after="283"/>
        <w:jc w:val="left"/>
        <w:rPr>
          <w:rFonts w:ascii="Times New Roman" w:hAnsi="Times New Roman"/>
          <w:b/>
          <w:color w:val="231F20"/>
          <w:sz w:val="20"/>
        </w:rPr>
      </w:pPr>
      <w:r>
        <w:rPr>
          <w:rFonts w:ascii="Times New Roman" w:hAnsi="Times New Roman"/>
          <w:b/>
          <w:color w:val="231F20"/>
          <w:sz w:val="20"/>
        </w:rPr>
        <w:t>Accrued Expenses and Other Current Liabilities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Accrued expenses and other current liabilities consisted of the following:</w:t>
      </w:r>
    </w:p>
    <w:p>
      <w:pPr>
        <w:pStyle w:val="TextBody"/>
        <w:bidi w:val="0"/>
        <w:spacing w:before="40" w:after="283"/>
        <w:jc w:val="left"/>
        <w:rPr/>
      </w:pPr>
      <w:r>
        <w:rPr/>
        <w:t> </w:t>
      </w:r>
    </w:p>
    <w:tbl>
      <w:tblPr>
        <w:tblW w:w="6437" w:type="dxa"/>
        <w:jc w:val="left"/>
        <w:tblInd w:w="0" w:type="dxa"/>
        <w:tblLayout w:type="fixed"/>
        <w:tblCellMar>
          <w:top w:w="28" w:type="dxa"/>
          <w:left w:w="28" w:type="dxa"/>
          <w:bottom w:w="28" w:type="dxa"/>
          <w:right w:w="28" w:type="dxa"/>
        </w:tblCellMar>
      </w:tblPr>
      <w:tblGrid>
        <w:gridCol w:w="3826"/>
        <w:gridCol w:w="146"/>
        <w:gridCol w:w="211"/>
        <w:gridCol w:w="676"/>
        <w:gridCol w:w="146"/>
        <w:gridCol w:w="146"/>
        <w:gridCol w:w="260"/>
        <w:gridCol w:w="835"/>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returns, rebates and patient assistance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in transit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22,431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11.</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Stock-Based Compensation</w:t>
      </w:r>
    </w:p>
    <w:p>
      <w:pPr>
        <w:pStyle w:val="TextBody"/>
        <w:bidi w:val="0"/>
        <w:spacing w:before="120" w:after="283"/>
        <w:jc w:val="left"/>
        <w:rPr>
          <w:rFonts w:ascii="Times New Roman" w:hAnsi="Times New Roman"/>
          <w:sz w:val="20"/>
        </w:rPr>
      </w:pPr>
      <w:r>
        <w:rPr>
          <w:rFonts w:ascii="Times New Roman" w:hAnsi="Times New Roman"/>
          <w:b/>
          <w:i/>
          <w:color w:val="231F20"/>
          <w:sz w:val="20"/>
        </w:rPr>
        <w:t>2016 Stock Incentive Plan</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2016 Stock Incentive Plan, as amended (the “2016 Plan”), previously provided for the grant of stock options and restricted stock awards to employees, officers, directors and consultants. Following the adoption of the 2025 Equity Incentive Plan in connection with the Company’s IPO in January 2025, no further awards are granted under the 2016 Plan. Outstanding awards previously granted under the 2016 Plan continue to be governed by their original terms.</w:t>
      </w:r>
    </w:p>
    <w:p>
      <w:pPr>
        <w:pStyle w:val="TextBody"/>
        <w:bidi w:val="0"/>
        <w:spacing w:before="360" w:after="283"/>
        <w:jc w:val="left"/>
        <w:rPr>
          <w:rFonts w:ascii="Times New Roman" w:hAnsi="Times New Roman"/>
          <w:sz w:val="20"/>
        </w:rPr>
      </w:pPr>
      <w:r>
        <w:rPr>
          <w:rFonts w:ascii="Times New Roman" w:hAnsi="Times New Roman"/>
          <w:b/>
          <w:i/>
          <w:color w:val="231F20"/>
          <w:sz w:val="20"/>
        </w:rPr>
        <w:t>2025 Equity Incentive Plan</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The Company maintains the 2025 Equity Incentive Plan (the “2025 Plan”), which became effective in January 2025. The 2025 Plan provides for the grant of incentive stock options, restricted stock units and other equity-based awards to employees, directors and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consultants. The 2025 Plan replaced the 2016 Plan, and no further awards are granted under the 2016 Plan. A total of 12,016,744 shares of common stock were initially reserved for issuance under the 2025 Plan. As of June 30, 2026, 14,234,787 shares of common stock were reserved for issuance under the 2025 Plan.</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Stock Options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presents, on a weighted-average basis, the assumptions used in the Black-Scholes option pricing model to determine the grant-date fair value of stock options granted:</w:t>
      </w:r>
    </w:p>
    <w:p>
      <w:pPr>
        <w:pStyle w:val="TextBody"/>
        <w:bidi w:val="0"/>
        <w:spacing w:before="40" w:after="283"/>
        <w:jc w:val="left"/>
        <w:rPr/>
      </w:pPr>
      <w:r>
        <w:rPr/>
        <w:t> </w:t>
      </w:r>
    </w:p>
    <w:tbl>
      <w:tblPr>
        <w:tblW w:w="6550" w:type="dxa"/>
        <w:jc w:val="left"/>
        <w:tblInd w:w="0" w:type="dxa"/>
        <w:tblLayout w:type="fixed"/>
        <w:tblCellMar>
          <w:top w:w="28" w:type="dxa"/>
          <w:left w:w="28" w:type="dxa"/>
          <w:bottom w:w="28" w:type="dxa"/>
          <w:right w:w="28" w:type="dxa"/>
        </w:tblCellMar>
      </w:tblPr>
      <w:tblGrid>
        <w:gridCol w:w="4021"/>
        <w:gridCol w:w="146"/>
        <w:gridCol w:w="220"/>
        <w:gridCol w:w="596"/>
        <w:gridCol w:w="283"/>
        <w:gridCol w:w="152"/>
        <w:gridCol w:w="220"/>
        <w:gridCol w:w="596"/>
        <w:gridCol w:w="316"/>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grant date fair value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summarizes stock option activity for the six months ended June 30, 2026:</w:t>
      </w:r>
    </w:p>
    <w:p>
      <w:pPr>
        <w:pStyle w:val="TextBody"/>
        <w:bidi w:val="0"/>
        <w:spacing w:before="40" w:after="283"/>
        <w:jc w:val="left"/>
        <w:rPr/>
      </w:pPr>
      <w:r>
        <w:rPr/>
        <w:t> </w:t>
      </w:r>
    </w:p>
    <w:tbl>
      <w:tblPr>
        <w:tblW w:w="9592" w:type="dxa"/>
        <w:jc w:val="left"/>
        <w:tblInd w:w="0" w:type="dxa"/>
        <w:tblLayout w:type="fixed"/>
        <w:tblCellMar>
          <w:top w:w="28" w:type="dxa"/>
          <w:left w:w="28" w:type="dxa"/>
          <w:bottom w:w="28" w:type="dxa"/>
          <w:right w:w="28" w:type="dxa"/>
        </w:tblCellMar>
      </w:tblPr>
      <w:tblGrid>
        <w:gridCol w:w="3766"/>
        <w:gridCol w:w="146"/>
        <w:gridCol w:w="146"/>
        <w:gridCol w:w="931"/>
        <w:gridCol w:w="166"/>
        <w:gridCol w:w="146"/>
        <w:gridCol w:w="242"/>
        <w:gridCol w:w="658"/>
        <w:gridCol w:w="146"/>
        <w:gridCol w:w="146"/>
        <w:gridCol w:w="284"/>
        <w:gridCol w:w="707"/>
        <w:gridCol w:w="146"/>
        <w:gridCol w:w="246"/>
        <w:gridCol w:w="239"/>
        <w:gridCol w:w="886"/>
        <w:gridCol w:w="5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br/>
              <w:t>Remaining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w:t>
              <w:br/>
              <w:t>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6,453,036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Forfeited or 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6,913,527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4,212,144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total intrinsic value of options exercised during the six months ended June 30, 2026 and 2025 was </w:t>
      </w:r>
      <w:r>
        <w:rPr>
          <w:rFonts w:ascii="Times New Roman" w:hAnsi="Times New Roman"/>
          <w:color w:val="000000"/>
          <w:sz w:val="20"/>
        </w:rPr>
        <w:t xml:space="preserve">$1.9 </w:t>
      </w:r>
      <w:r>
        <w:rPr>
          <w:rFonts w:ascii="Times New Roman" w:hAnsi="Times New Roman"/>
          <w:color w:val="231F20"/>
          <w:sz w:val="20"/>
        </w:rPr>
        <w:t>million and $0.2 million, respectively.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weighted-average grant-date fair value of stock options granted during the six months ended June 30, 2026 and 2025 was $8.00 per share and $13.99 per share, respectively. The total fair value of stock options vested during the six months ended June 30, 2026 and 2025 was $4.8 million and $4.3 million, respectively.</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summarizes the non-vested stock options that were outstanding as of June 30, 2026 and December 31, 2025:</w:t>
      </w:r>
    </w:p>
    <w:p>
      <w:pPr>
        <w:pStyle w:val="TextBody"/>
        <w:bidi w:val="0"/>
        <w:spacing w:before="40" w:after="283"/>
        <w:jc w:val="left"/>
        <w:rPr/>
      </w:pPr>
      <w:r>
        <w:rPr/>
        <w:t> </w:t>
      </w:r>
    </w:p>
    <w:tbl>
      <w:tblPr>
        <w:tblW w:w="5982" w:type="dxa"/>
        <w:jc w:val="left"/>
        <w:tblInd w:w="0" w:type="dxa"/>
        <w:tblLayout w:type="fixed"/>
        <w:tblCellMar>
          <w:top w:w="28" w:type="dxa"/>
          <w:left w:w="28" w:type="dxa"/>
          <w:bottom w:w="28" w:type="dxa"/>
          <w:right w:w="28" w:type="dxa"/>
        </w:tblCellMar>
      </w:tblPr>
      <w:tblGrid>
        <w:gridCol w:w="3376"/>
        <w:gridCol w:w="146"/>
        <w:gridCol w:w="146"/>
        <w:gridCol w:w="931"/>
        <w:gridCol w:w="146"/>
        <w:gridCol w:w="146"/>
        <w:gridCol w:w="242"/>
        <w:gridCol w:w="658"/>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w:t>
              <w:br/>
              <w:t>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options,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Restricted Stock Units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summarizes RSU activity under the Company's incentive plans for the six months ended June 30, 2026:</w:t>
      </w:r>
    </w:p>
    <w:p>
      <w:pPr>
        <w:pStyle w:val="TextBody"/>
        <w:bidi w:val="0"/>
        <w:spacing w:before="40" w:after="283"/>
        <w:jc w:val="left"/>
        <w:rPr/>
      </w:pPr>
      <w:r>
        <w:rPr/>
        <w:t> </w:t>
      </w:r>
    </w:p>
    <w:tbl>
      <w:tblPr>
        <w:tblW w:w="7485" w:type="dxa"/>
        <w:jc w:val="left"/>
        <w:tblInd w:w="0" w:type="dxa"/>
        <w:tblLayout w:type="fixed"/>
        <w:tblCellMar>
          <w:top w:w="28" w:type="dxa"/>
          <w:left w:w="28" w:type="dxa"/>
          <w:bottom w:w="28" w:type="dxa"/>
          <w:right w:w="28" w:type="dxa"/>
        </w:tblCellMar>
      </w:tblPr>
      <w:tblGrid>
        <w:gridCol w:w="3256"/>
        <w:gridCol w:w="146"/>
        <w:gridCol w:w="191"/>
        <w:gridCol w:w="1219"/>
        <w:gridCol w:w="166"/>
        <w:gridCol w:w="146"/>
        <w:gridCol w:w="476"/>
        <w:gridCol w:w="1294"/>
        <w:gridCol w:w="59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 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outstanding,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2,424,161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Stock-Based Compensation Expense</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Stock-based compensation expense </w:t>
      </w:r>
      <w:r>
        <w:rPr>
          <w:rFonts w:ascii="Times New Roman" w:hAnsi="Times New Roman"/>
          <w:color w:val="000000"/>
          <w:sz w:val="20"/>
        </w:rPr>
        <w:t>by type and financial statement line is</w:t>
      </w:r>
      <w:r>
        <w:rPr>
          <w:rFonts w:ascii="Times New Roman" w:hAnsi="Times New Roman"/>
          <w:color w:val="231F20"/>
          <w:sz w:val="20"/>
        </w:rPr>
        <w:t xml:space="preserve"> included in the Company’s statements of operations and comprehensive loss as follows:</w:t>
      </w:r>
      <w:r>
        <w:rPr>
          <w:rFonts w:ascii="Times New Roman" w:hAnsi="Times New Roman"/>
          <w:color w:val="000000"/>
          <w:sz w:val="20"/>
        </w:rPr>
        <w:t xml:space="preserve"> </w:t>
      </w:r>
    </w:p>
    <w:p>
      <w:pPr>
        <w:pStyle w:val="TextBody"/>
        <w:bidi w:val="0"/>
        <w:spacing w:before="40" w:after="283"/>
        <w:jc w:val="left"/>
        <w:rPr/>
      </w:pPr>
      <w:r>
        <w:rPr/>
        <w:t> </w:t>
      </w:r>
    </w:p>
    <w:tbl>
      <w:tblPr>
        <w:tblW w:w="8472" w:type="dxa"/>
        <w:jc w:val="left"/>
        <w:tblInd w:w="0" w:type="dxa"/>
        <w:tblLayout w:type="fixed"/>
        <w:tblCellMar>
          <w:top w:w="28" w:type="dxa"/>
          <w:left w:w="28" w:type="dxa"/>
          <w:bottom w:w="28" w:type="dxa"/>
          <w:right w:w="28" w:type="dxa"/>
        </w:tblCellMar>
      </w:tblPr>
      <w:tblGrid>
        <w:gridCol w:w="3511"/>
        <w:gridCol w:w="146"/>
        <w:gridCol w:w="257"/>
        <w:gridCol w:w="697"/>
        <w:gridCol w:w="178"/>
        <w:gridCol w:w="178"/>
        <w:gridCol w:w="257"/>
        <w:gridCol w:w="697"/>
        <w:gridCol w:w="146"/>
        <w:gridCol w:w="146"/>
        <w:gridCol w:w="222"/>
        <w:gridCol w:w="713"/>
        <w:gridCol w:w="154"/>
        <w:gridCol w:w="154"/>
        <w:gridCol w:w="222"/>
        <w:gridCol w:w="603"/>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12,422</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tbl>
      <w:tblPr>
        <w:tblW w:w="8472" w:type="dxa"/>
        <w:jc w:val="left"/>
        <w:tblInd w:w="0" w:type="dxa"/>
        <w:tblLayout w:type="fixed"/>
        <w:tblCellMar>
          <w:top w:w="28" w:type="dxa"/>
          <w:left w:w="28" w:type="dxa"/>
          <w:bottom w:w="28" w:type="dxa"/>
          <w:right w:w="28" w:type="dxa"/>
        </w:tblCellMar>
      </w:tblPr>
      <w:tblGrid>
        <w:gridCol w:w="3511"/>
        <w:gridCol w:w="146"/>
        <w:gridCol w:w="257"/>
        <w:gridCol w:w="697"/>
        <w:gridCol w:w="178"/>
        <w:gridCol w:w="178"/>
        <w:gridCol w:w="257"/>
        <w:gridCol w:w="697"/>
        <w:gridCol w:w="146"/>
        <w:gridCol w:w="146"/>
        <w:gridCol w:w="222"/>
        <w:gridCol w:w="713"/>
        <w:gridCol w:w="154"/>
        <w:gridCol w:w="154"/>
        <w:gridCol w:w="222"/>
        <w:gridCol w:w="603"/>
        <w:gridCol w:w="19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12,422</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As of June 30, 2026, total unrecognized stock-based compensation expense related t</w:t>
      </w:r>
      <w:r>
        <w:rPr>
          <w:rFonts w:ascii="Times New Roman" w:hAnsi="Times New Roman"/>
          <w:color w:val="000000"/>
          <w:sz w:val="20"/>
        </w:rPr>
        <w:t xml:space="preserve">o the unvested options was $24.5 million, which is expected to be recognized over a weighted-average period of 2.3 years. </w:t>
      </w:r>
      <w:r>
        <w:rPr>
          <w:rFonts w:ascii="Times New Roman" w:hAnsi="Times New Roman"/>
          <w:color w:val="231F20"/>
          <w:sz w:val="20"/>
        </w:rPr>
        <w:t>As of June 30, 2026, total unrecognized stock-based compensation expense related t</w:t>
      </w:r>
      <w:r>
        <w:rPr>
          <w:rFonts w:ascii="Times New Roman" w:hAnsi="Times New Roman"/>
          <w:color w:val="000000"/>
          <w:sz w:val="20"/>
        </w:rPr>
        <w:t>o the unvested RSUs was $30.6 million, which is expected to be recognized over a weighted-average period of 2.4 years.</w:t>
      </w:r>
    </w:p>
    <w:p>
      <w:pPr>
        <w:pStyle w:val="TextBody"/>
        <w:bidi w:val="0"/>
        <w:spacing w:before="360" w:after="283"/>
        <w:jc w:val="left"/>
        <w:rPr>
          <w:rFonts w:ascii="Times New Roman" w:hAnsi="Times New Roman"/>
          <w:sz w:val="20"/>
        </w:rPr>
      </w:pPr>
      <w:r>
        <w:rPr>
          <w:rFonts w:ascii="Times New Roman" w:hAnsi="Times New Roman"/>
          <w:b/>
          <w:i/>
          <w:color w:val="231F20"/>
          <w:sz w:val="20"/>
        </w:rPr>
        <w:t>Employee Stock Purchase Plan</w:t>
      </w:r>
      <w:r>
        <w:rPr>
          <w:rFonts w:ascii="Times New Roman" w:hAnsi="Times New Roman"/>
          <w:color w:val="231F20"/>
          <w:sz w:val="20"/>
        </w:rPr>
        <w:t xml:space="preserve"> </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Company’s Employee Stock Purchase Plan (“ESPP”) was approved by the Board in January 2025. The ESPP enables eligible employees to purchase shares of the Company’s common stock using their after-tax payroll deductions, subject to certain conditions. The ESPP is intended to qualify as an “employee stock purchase plan” within the meaning of Section 423 of the Code. Eligible employees may contribute,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limited to the maximum number of shares they may purchase on any single purchase date. Each offering under the ESPP has a six-month duration, beginning on January 1 and July 1 of each year, with purchases occurring on June 30 and December 31, respectively. The initial offering period under the ESPP commenced on January 1, 2026, and the first purchase under the ESPP occurred on June 30, 2026. A total of 410,000 shares of common stock were initially reserved for issuance under the ESPP. As of June 30, 2026, 853,608 shares of common stock were reserved for issuance under the ESPP, including shares added pursuant to the annual evergreen provision.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12.</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Employee Benefit Plan</w:t>
      </w:r>
    </w:p>
    <w:p>
      <w:pPr>
        <w:pStyle w:val="TextBody"/>
        <w:bidi w:val="0"/>
        <w:spacing w:before="120" w:after="283"/>
        <w:jc w:val="left"/>
        <w:rPr>
          <w:rFonts w:ascii="Times New Roman" w:hAnsi="Times New Roman"/>
          <w:sz w:val="20"/>
        </w:rPr>
      </w:pPr>
      <w:r>
        <w:rPr>
          <w:rFonts w:ascii="Times New Roman" w:hAnsi="Times New Roman"/>
          <w:color w:val="231F20"/>
          <w:sz w:val="20"/>
        </w:rPr>
        <w:t>The Company maintains a 401(k) retirement plan (the “401(k) Plan”) for the benefit of eligible employees. Each participant may elect to contribute up to 100% of his or her compensat</w:t>
      </w:r>
      <w:r>
        <w:rPr>
          <w:rFonts w:ascii="Times New Roman" w:hAnsi="Times New Roman"/>
          <w:color w:val="000000"/>
          <w:sz w:val="20"/>
        </w:rPr>
        <w:t>ion to the 401(k) Plan e</w:t>
      </w:r>
      <w:r>
        <w:rPr>
          <w:rFonts w:ascii="Times New Roman" w:hAnsi="Times New Roman"/>
          <w:color w:val="231F20"/>
          <w:sz w:val="20"/>
        </w:rPr>
        <w:t>ach year, subject to certain Internal Revenue Service limitations. Under the terms of the Plan, the Company matches 100% of the first 6% of employee contributions. During the six months ended June 30, 2026 and 2025, the Company contributed $1.9 million and $1.4 million, respectively, to the 401(k) Plan.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During the </w:t>
      </w:r>
      <w:r>
        <w:rPr>
          <w:rFonts w:ascii="Times New Roman" w:hAnsi="Times New Roman"/>
          <w:color w:val="231F20"/>
          <w:sz w:val="20"/>
        </w:rPr>
        <w:t>six months ended June 30, 2026 and 2025</w:t>
      </w:r>
      <w:r>
        <w:rPr>
          <w:rFonts w:ascii="Times New Roman" w:hAnsi="Times New Roman"/>
          <w:color w:val="000000"/>
          <w:sz w:val="20"/>
        </w:rPr>
        <w:t>, the Company did not record income tax benefits for the net operating losses (“NOLs”) incurred or for the research and development tax credits generated in each year, due to its uncertainty of realizing a benefit from those items. The Company does not have any foreign operations and therefore has no foreign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files income tax returns as prescribed by the tax laws of the jurisdictions in which it operates. In the normal course of business, the Company is subject to examination by federal and state jurisdictions, where applicable. The Company is open to future tax examination under statute by the Internal Revenue Service (the “IRS”) from 2022 to present and by most state tax authorities from 2021 to present. However, to the extent allowed by law, the taxing authorities may have the right to examine periods where NOLs and research and development credits were generated and carried forward, and make adjustments to the amount of the NOL and research credits carryforwards.</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14.</w:t>
      </w:r>
    </w:p>
    <w:p>
      <w:pPr>
        <w:pStyle w:val="TextBody"/>
        <w:bidi w:val="0"/>
        <w:spacing w:before="120" w:after="283"/>
        <w:jc w:val="left"/>
        <w:rPr>
          <w:rFonts w:ascii="Times New Roman" w:hAnsi="Times New Roman"/>
          <w:b/>
          <w:color w:val="231F20"/>
          <w:sz w:val="20"/>
        </w:rPr>
      </w:pPr>
      <w:r>
        <w:rPr>
          <w:rFonts w:ascii="Times New Roman" w:hAnsi="Times New Roman"/>
          <w:b/>
          <w:color w:val="231F20"/>
          <w:sz w:val="20"/>
        </w:rPr>
        <w:t xml:space="preserve">Leases </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In November 2023, the Company entered into a new lease agreement in San Diego, California. This lease expires in February 2027 and includes an option to extend the lease term for an additional five years. </w:t>
      </w:r>
      <w:r>
        <w:rPr>
          <w:rFonts w:ascii="Times New Roman" w:hAnsi="Times New Roman"/>
          <w:color w:val="221F1F"/>
          <w:sz w:val="20"/>
        </w:rPr>
        <w:t>The option to extend the lease term was not included in the right-of-use asset and lease liability as it was not reasonably certain of being exercised.</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September 2024, the Company amended its lease for office space and a manufacturing facility in Irvine, California to include two renewal options. The Company is reasonably certain it will exercise one of these options, extending the lease term from May 2027 to June 2032, which has been factored into the lease liability. As the amendment only resulted in the extension of the lease term, it did not meet the criteria to be accounted for as a separate contract. Accordingly, the right-of-use asset and lease liability were remeasured as of the effective date of the amendment, resulting in the recording of an additional right-of-use asset and lease liability of $3.8 million.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In October 2024, the Company entered into a lease agreement for an additional office suite to expand its office space in San Diego, California, which expires in March 2027. As a result, the Company recognized operating lease right-of-use asset and associated operating lease liability of $0.2 million on the balance sheets in 2024.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September 2025, the Company's sublease expired and the Company entered into a separate sublease agreement in an additional office building in San Diego, California, which expires in August 2028. As a result, the Company recognized operating lease right-of-use asset and associated operating lease liability of $1.3 million on the balance sheet.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The components of lease expense were as follows: </w:t>
      </w:r>
    </w:p>
    <w:p>
      <w:pPr>
        <w:pStyle w:val="TextBody"/>
        <w:bidi w:val="0"/>
        <w:spacing w:before="40" w:after="283"/>
        <w:jc w:val="left"/>
        <w:rPr/>
      </w:pPr>
      <w:r>
        <w:rPr/>
        <w:t> </w:t>
      </w:r>
    </w:p>
    <w:tbl>
      <w:tblPr>
        <w:tblW w:w="7684" w:type="dxa"/>
        <w:jc w:val="left"/>
        <w:tblInd w:w="0" w:type="dxa"/>
        <w:tblLayout w:type="fixed"/>
        <w:tblCellMar>
          <w:top w:w="28" w:type="dxa"/>
          <w:left w:w="28" w:type="dxa"/>
          <w:bottom w:w="28" w:type="dxa"/>
          <w:right w:w="28" w:type="dxa"/>
        </w:tblCellMar>
      </w:tblPr>
      <w:tblGrid>
        <w:gridCol w:w="2521"/>
        <w:gridCol w:w="146"/>
        <w:gridCol w:w="307"/>
        <w:gridCol w:w="613"/>
        <w:gridCol w:w="212"/>
        <w:gridCol w:w="212"/>
        <w:gridCol w:w="307"/>
        <w:gridCol w:w="613"/>
        <w:gridCol w:w="146"/>
        <w:gridCol w:w="146"/>
        <w:gridCol w:w="256"/>
        <w:gridCol w:w="693"/>
        <w:gridCol w:w="177"/>
        <w:gridCol w:w="177"/>
        <w:gridCol w:w="256"/>
        <w:gridCol w:w="511"/>
        <w:gridCol w:w="3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cost–fixed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cost–variable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Cash paid for amounts included in the measurement of operating lease liabilities </w:t>
      </w:r>
      <w:r>
        <w:rPr>
          <w:rFonts w:ascii="Times New Roman" w:hAnsi="Times New Roman"/>
          <w:color w:val="000000"/>
          <w:sz w:val="20"/>
        </w:rPr>
        <w:t xml:space="preserve">was $1.0 million and $0.8 million, </w:t>
      </w:r>
      <w:r>
        <w:rPr>
          <w:rFonts w:ascii="Times New Roman" w:hAnsi="Times New Roman"/>
          <w:color w:val="231F20"/>
          <w:sz w:val="20"/>
        </w:rPr>
        <w:t xml:space="preserve">respectively, for the six months ended June 30, 2026 and 2025.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weighted-average remaining lease term and discount rate were as follows:</w:t>
      </w:r>
    </w:p>
    <w:p>
      <w:pPr>
        <w:pStyle w:val="TextBody"/>
        <w:bidi w:val="0"/>
        <w:spacing w:before="40" w:after="283"/>
        <w:jc w:val="left"/>
        <w:rPr/>
      </w:pPr>
      <w:r>
        <w:rPr/>
        <w:t> </w:t>
      </w:r>
    </w:p>
    <w:tbl>
      <w:tblPr>
        <w:tblW w:w="4918" w:type="dxa"/>
        <w:jc w:val="left"/>
        <w:tblInd w:w="0" w:type="dxa"/>
        <w:tblLayout w:type="fixed"/>
        <w:tblCellMar>
          <w:top w:w="28" w:type="dxa"/>
          <w:left w:w="28" w:type="dxa"/>
          <w:bottom w:w="28" w:type="dxa"/>
          <w:right w:w="28" w:type="dxa"/>
        </w:tblCellMar>
      </w:tblPr>
      <w:tblGrid>
        <w:gridCol w:w="3331"/>
        <w:gridCol w:w="146"/>
        <w:gridCol w:w="268"/>
        <w:gridCol w:w="857"/>
        <w:gridCol w:w="316"/>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20"/>
        </w:rPr>
        <w:t>Future lease payments under non-cancellable leases as of June 30, 2026 were as follows:</w:t>
      </w:r>
      <w:r>
        <w:rPr>
          <w:rFonts w:ascii="Times New Roman" w:hAnsi="Times New Roman"/>
          <w:color w:val="000000"/>
          <w:sz w:val="20"/>
        </w:rPr>
        <w:t xml:space="preserve"> </w:t>
      </w:r>
    </w:p>
    <w:p>
      <w:pPr>
        <w:pStyle w:val="TextBody"/>
        <w:bidi w:val="0"/>
        <w:spacing w:before="40" w:after="283"/>
        <w:jc w:val="left"/>
        <w:rPr/>
      </w:pPr>
      <w:r>
        <w:rPr/>
        <w:t> </w:t>
      </w:r>
    </w:p>
    <w:tbl>
      <w:tblPr>
        <w:tblW w:w="3955" w:type="dxa"/>
        <w:jc w:val="left"/>
        <w:tblInd w:w="0" w:type="dxa"/>
        <w:tblLayout w:type="fixed"/>
        <w:tblCellMar>
          <w:top w:w="28" w:type="dxa"/>
          <w:left w:w="28" w:type="dxa"/>
          <w:bottom w:w="28" w:type="dxa"/>
          <w:right w:w="28" w:type="dxa"/>
        </w:tblCellMar>
      </w:tblPr>
      <w:tblGrid>
        <w:gridCol w:w="2556"/>
        <w:gridCol w:w="146"/>
        <w:gridCol w:w="211"/>
        <w:gridCol w:w="631"/>
        <w:gridCol w:w="411"/>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spacing w:before="0" w:after="0"/>
        <w:jc w:val="left"/>
        <w:rPr>
          <w:rFonts w:ascii="Times New Roman" w:hAnsi="Times New Roman"/>
          <w:b/>
          <w:color w:val="231F20"/>
          <w:sz w:val="20"/>
        </w:rPr>
      </w:pPr>
      <w:r>
        <w:rPr>
          <w:rFonts w:ascii="Times New Roman" w:hAnsi="Times New Roman"/>
          <w:b/>
          <w:color w:val="231F20"/>
          <w:sz w:val="20"/>
        </w:rPr>
        <w:t>15.</w:t>
      </w:r>
    </w:p>
    <w:p>
      <w:pPr>
        <w:pStyle w:val="TextBody"/>
        <w:bidi w:val="0"/>
        <w:jc w:val="left"/>
        <w:rPr>
          <w:rFonts w:ascii="Times New Roman" w:hAnsi="Times New Roman"/>
          <w:b/>
          <w:color w:val="231F20"/>
          <w:sz w:val="20"/>
        </w:rPr>
      </w:pPr>
      <w:r>
        <w:rPr>
          <w:rFonts w:ascii="Times New Roman" w:hAnsi="Times New Roman"/>
          <w:b/>
          <w:color w:val="231F20"/>
          <w:sz w:val="20"/>
        </w:rPr>
        <w:t>Commitments and Contingencies</w:t>
      </w:r>
    </w:p>
    <w:p>
      <w:pPr>
        <w:pStyle w:val="TextBody"/>
        <w:bidi w:val="0"/>
        <w:spacing w:before="120" w:after="283"/>
        <w:jc w:val="left"/>
        <w:rPr>
          <w:rFonts w:ascii="Times New Roman" w:hAnsi="Times New Roman"/>
          <w:b/>
          <w:i/>
          <w:color w:val="231F20"/>
          <w:sz w:val="20"/>
        </w:rPr>
      </w:pPr>
      <w:r>
        <w:rPr>
          <w:rFonts w:ascii="Times New Roman" w:hAnsi="Times New Roman"/>
          <w:b/>
          <w:i/>
          <w:color w:val="231F20"/>
          <w:sz w:val="20"/>
        </w:rPr>
        <w:t>Legal Proceedings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From time to time, the Company may become involved in various legal proceedings, including those that may arise in the ordinary course of business. The Company believes there is no litigation pending that could have, individually, or in the aggregate, a material adverse effect on the results of its operations, financial condition or cash flows.</w:t>
      </w:r>
    </w:p>
    <w:p>
      <w:pPr>
        <w:pStyle w:val="TextBody"/>
        <w:bidi w:val="0"/>
        <w:spacing w:before="360" w:after="283"/>
        <w:jc w:val="left"/>
        <w:rPr>
          <w:rFonts w:ascii="Times New Roman" w:hAnsi="Times New Roman"/>
          <w:b/>
          <w:i/>
          <w:color w:val="231F20"/>
          <w:sz w:val="20"/>
        </w:rPr>
      </w:pPr>
      <w:r>
        <w:rPr>
          <w:rFonts w:ascii="Times New Roman" w:hAnsi="Times New Roman"/>
          <w:b/>
          <w:i/>
          <w:color w:val="231F20"/>
          <w:sz w:val="20"/>
        </w:rPr>
        <w:t>Xeris Agreements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May 2024, the Company and Xeris Pharmaceuticals, Inc. (“Xeris”) entered into a collaboration and license agreement (“Collaboration and License Agreement”) to develop and commercialize glucagon products for use in the Company’s pump-based systems. Under the Collaboration and License Agreement, the Company received a worldwide, exclusive, sublicensable license to certain Xeris technology for use in the field of chronic glycemic control, as well as a manufacturing license subject to a future technology transfer and commercial supply arrangement.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consideration for the rights granted under the agreement, the Company paid Xeris an upfront fee of $0.5 million and a development milestone payment of $3.0 million, both of which were recognized as research and development expenses when incurred. The Company is also required to pay Xeris tiered royalties in the low double-digit percentage range on future net sales of licensed products, subject to customary reductions.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connection with clinical development activities, the Company entered into the Clinical Supply Agreement with Xeris and incurred $0.9 million of costs for Phase 2 clinical materials during 2024, with the remaining balance paid in 2025. In May 2026, the Company entered into a letter agreement under the Clinical Supply Agreement with Xeris for additional Phase 2 clinical material, including a one-time non-refundable payment of $0.5 million and reimbursement of certain internal and travel costs. In connection with entering into Phase 3 of the collaboration, the Company expects to incur development and manufacturing costs, including ordering clinical materials and technical transfer, development, and testing of the product, totaling up to $5.1 million. As of June 30, 2026, the Company has completed payments totaling $4.0 million. Amounts are initially recorded as prepaid expenses and recognized as research and development expense as the related services are performed. The Company may incur additional research and development expenses and, upon commercialization, royalty obligations under these agreements.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mda"/>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the related notes included elsewhere in this Quarterly Report, our financial statements and the related notes thereto for the fiscal year ended December 31, 2025 and the related Management’s Discussion and Analysis of Financial Condition and Results of Operations, which are contained in our Annual Report on Form 10-K for the year ended December 31, 2025 filed with the SEC. Some of the information contained in this discussion and analysis or set forth elsewhere in this Quarterly Report, including information with respect to our planned investments in our research and development, sales and marketing and general and administrative functions, and our current plans and strategy for our business and related financing,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You should carefully read the section titled “Risk Factors” and “Special Note Regarding Forward-Looking Statements” in both our Annual Report on Form 10-K for the year ended December 31, 2025 and in this Quarterly Report to gain an understanding of the important factors that could cause actual results to differ materially from our forward-looking statements. Unless the context requires otherwise, references in this Quarterly Report to the “Company,”“we,” “us” and “our” refer to Beta Bionics, Inc.</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commercial-stage medical device company engaged in the design, development, and commercialization of innovative solutions to improve the health and quality of life of insulin-requiring people with diabetes (PWD) by utilizing advanced adaptive closed-loop algorithms to simplify and improve the treatment of their disease. Diabetes is a chronic condition that requires ongoing insulin management, and despite advances in care, many PWD continue to struggle to achieve optimal outcomes. Despite decades of innovation, a significant unmet need remains. Our product, the iLet, is the first insulin delivery device cleared by the U.S. Food and Drug Administration (FDA) to utilize adaptive closed-loop algorithms to autonomously determine every insulin dose without requiring a user to count carbohydrate intake. We believe this represents a significant advancement over currently available insulin delivery options by offering a differentiated combination of improved glycemic control and a simplified experience for users and caregivers.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iLet was specifically designed to provide improvements in glycemic control relative to currently available treatment options, such as insulin pumps, including partially automated insulin delivery (AID) systems (also known as hybrid closed-loop systems), and multiple daily injections (MDI), also reducing the complexity and burden of achieving these improved results for PWD. It is enabled by adaptive closed-loop algorithms that continuously learn each person’s unique and ever-changing insulin requirements and then autonomously delivers the correct insulin doses every five minutes throughout the day and night. Only the user’s body weight is required for device initialization and the autonomous determination of all insulin doses, unlike insulin pumps and hybrid closed-loop systems, which require a complex host of parameters to configure.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initial commercialization efforts for the iLet are in type 1 diabetes (T1D), an indication for which we received FDA clearance in patients six and older in May 2023, in the United States. According to the Centers for Disease Control and Prevention (CDC), there are approximately 1.9 million people with T1D currently in the United States, all of whom require daily insulin replacement to manage their disease. We believe that one of the principal causes of suboptimal outcomes as it relates to disease management is the complexity of the user experience with most currently available insulin pumps and hybrid closed-loop systems, which has kept the majority of PWD from adopting them despite the improved disease management they can offer. We believe that approximately one-third of people with T1D in the United States utilize insulin pumps or hybrid closed-loop systems to receive their daily insulin, while the majority receive their daily insulin via MDI, which is less complex, but often less effective, and has been shown to be associated with higher HbA1c levels. Our initial commercial results suggest that the iLet’s value proposition is resonating strongly within the MDI population as approximately 69% and 71% of the iLet’s adoption during the six months ended June 30, 2026 and 2025, respectively, came from PWD who were previously utilizing MDI.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partnered with Dexcom and Abbott—global leaders in popular and easy to use iCGM technology—to integrate the iLet with the Dexcom G6 and G7 iCGMs and with Abbott’s FreeStyle Libre 3 Plus Continuous Glucose Monitor (CGM) sensor. Use of the iLet requires the independent purchase of a compatible third-party iCGM to provide real-time data to the iLet user.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iLet requires the use of single-use products, which we sell separately to our customers. These single-use products include cartridges for storing and delivering insulin, as well as infusion sets. These single-use products are generally recommended to be disposed of entirely every 2-3 days, or as directed by a healthcare provider. We also offer a mobile application that receives information from the iLet and displays that information discreetly to the user. This intuitive mobile application delivers real-time glucose readings, trends and graphs, with data securely stored in the cloud.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maximize the commercial value of the iLet opportunity, we have assembled a team across our organization with broad experience in the successful commercialization of innovative technologies in the field of diabetes disease management. We are promoting sales of the iLet through an internal sales organization focused on high-volume endocrinology practices in the United States and may expand to primary care physicians (PCP) over time. We believe that the iLet’s core value proposition of marrying effective glycemic control with the simplicity of use that is brought about by adaptive closed-loop algorithm insulin-dose determination may resonate particularly well among PCP who do not have the subspecialty-level of expertise, the resources, or the clinical bandwidth that is needed to initiate insulin-pump or hybrid closed-loop therapy or for the continual demand (such as adjustments at quarterly visits) those systems place on clinical practices in follow-on care.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primary customers are distributors and pharmacies who sell the iLet and single-use products that are used together with the iLet. PWD acquire our products through the DME channel and the PBP channel. Currently, the majority of our new patient starts are reimbursed through the DME channel.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pursuing a multi-channel coverage and reimbursement strategy to maximize access to the iLet within the T1D population, provide flexibility for PWD in choosing their device and provide PWD with advantageous coverage and reimbursement terms. We are working with payors to establish coverage and reimbursement under both the DME and PBP channels as we believe this strategy increases access and optimizes the potential for better medical outcomes for PWD through the adoption of the iLet.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durable medical equipment (DME) and pharmacy benefit plans (PBP) reimbursement channels for the iLet and its single-use products entail different payment outlays and therefore differentially impact PWD and our financial results. DME reimbursement requires the user and insurance carrier to make a large, upfront payment and reimbursement, respectively, for the iLet, which is typically in the thousands of dollars.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By contrast, PBP reimbursement requires the user and insurance carrier to make a small upfront payment and reimbursement, respectively, for the iLet, allowing for a potentially higher rate of adoption by PWD. The insurance carrier then makes larger reimbursement payments for the purchase of single-use products, with the user’s payments for the single-use products being generally consistent with what the user would likely pay for single-use products in DME reimbursement. As a result, we recognize a small amount of revenue at or around the date the iLet is sold in the PBP channel and we absorb initial negative gross margin. iLet sales in the PBP channel are generally expected to then start generating cumulative positive gross margin for us following the third month the user utilizes the iLet and continues to purchase single-use products. For the six months ended June 30, 2026 and 2025, PBP channel sales represented 37% and 21% of net sales,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considering the overall economics over the lifetime of each iLet, sales through the DME channel generally result in higher upfront cash flows from the large upfront payment and reimbursement for the iLet, but lead to lower cash flows over time as the user purchases the necessary single-use products. By contrast, sales through the PBP channel generally result in lower upfront cash flows from the small payment and reimbursement for the iLet, but lead to higher cash flows over time as the user purchases the necessary single-use products. This reflects differences in both the upfront device economics and the pricing of recurring single-use products across channels. When comparing sales through the DME and PBP channels, we expect sales through the PBP channel will have a more favorable economic impact on our financial results over the expected life of the iLet, which we generally expect to be four years. As such, our current strategic priority is to direct demand to the PBP reimbursement channel.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our commercialized product and to maintain our competitive position in the marketplace, we intend to continue investing in disruptive technologies through our experienced research and development team. We are developing Mint, a next-generation, tubeless insulin patch pump designed to provide the same adaptive closed-loop automation of the iLet in a discreet, wearable format. The device features a two-part design, including a reusable controller that houses the electronics and adaptive algorithm paired with a disposable cartridge. The system will be waterproof, smartphone-controlled through iOS and Android applications, and designed for efficient large-scale manufacturing with reduced environmental waste. We expect Mint to expand the addressable insulin delivery market, particularly among people seeking a tubeless form factor reimbursed through the pharmacy channel. Subject to receiving FDA 510(k) clearance as an alternate controller enabled (ACE) pump, we expect to fully commercialize Mint by the end of the second quarter of 2027.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in the early stages of developing a first-of-its-kind bihormonal system of the iLet, which combines automated delivery of insulin and glucagon, the BG-raising hormone that protects against low blood sugar, or hypoglycemia, with adaptive closed-loop algorithms where all doses of both hormones are autonomously determined. As part of our development plans, in September 2025, we completed a clinical trial in Canada assessing the pharmacokinetics (PK) and pharmacodynamics (PD) of our glucagon product candidate (also referred to as the glucagon asset, and referred to herein as the PK-PD Trial). The completion of the PK-PD Trial enables us to bridge our previous bihormonal clinical data to our glucagon product candidate. We believe that the results from the PK-PD Trial are supportive of the continued development of our glucagon product candidate for use in our bihormonal system of the iLet. In the fourth quarter of 2025, we completed our first-in-human Phase 2a feasibility trial in New Zealand evaluating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integrated bihormonal system, including the glucagon formulation, pump, and dosing algorithms. In the first quarter of 2026, we initiated an additional Phase 2a feasibility trial to further evaluate the system, including the glucagon formulation, pump, and dosing algorithms. Based on the results from this feasibility work, we identified opportunities to improve the system, including the glucagon asset’s excipient profile and dosing algorithms. We are also pursuing the development of the iLet for expanded patient populations and indications, including people with type 2 diabetes (T2D). In July 2026, we began enrolling adults with T2D in a pivotal trial in the United States, with the goal of expanding the iLet’s indications for use to include adults with T2D around mid-year 2027, subject to regulatory clearance by the FDA.</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License and Collaboration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the key terms of certain of our license and collaboration agreements. For a more detailed description of these agreements, see “Business—License and Collaboration Agreements” in our Annual Report on Form 10-K for the year ended December 31, 2025.</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Device License Agreement with Boston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Device License Agreement with Boston University (BU) that requires ongoing royalty payments and other financial obligations related to products incorporating BU-licensed technology. Under the agreement, we are required to pay (i) quarterly royalties in the mid-single-digit percentage range based on net sales of licensed products by us and our affiliates, (ii) quarterly royalties in the low double-digit percentage range based on net sales by sublicensees, which are creditable against a minimum annual royalty amount, and (iii) quarterly lump-sum payments in the low double-digit percentage range based on certain non-royalty sublicensing revenue. We are also responsible for reimbursing BU for patent-related costs and may be required to pay an assignment fee in the event of a sale of substantially all assets related to the licensed technology. During the six months ended June 30, 2026, we continued to incur royalty and license-related costs under this agreement which were recorded as cost of sales or operating expenses, as applicable, and expect these costs to increase as sales volumes grow.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Control Algorithm License Agreement with Boston University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Control Algorithm license agreement with BU covering automated control system technology incorporated into the iLet. Under the financial terms of the agreement, we are required to pay BU (i) quarterly royalties of a mid-single-digit percentage based on net sales by us and our affiliates, (ii) quarterly royalties of a low double-digit percentage based on net sales by sublicensees, in each case of (i) and (ii) creditable against a minimum annual royalty amount, and (iii) quarterly lump-sum payments of a low double-digit percentage of certain non-royalty sublicensing revenue received from sublicensees. We are also responsible for reimbursing patent-related costs and are required to make a one-time change-of-control payment of $65,000 if such an event occurs. During the six months ended June 30, 2026, we continued to incur royalty and license-related costs under this agreement and expect these costs to increase as sales volumes grow.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Collaboration and License Agreement with Xeris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Collaboration and License Agreement with Xeris Pharmaceuticals, Inc. to develop and commercialize a glucagon formulation for use in our bihormonal system. Under this agreement, we paid an upfront fee of $0.5 million and a milestone payment of $3.0 million, both of which were recognized as research and development expense when incurred. We are also obligated to pay tiered royalties in the low double-digit percentage range on future net sales of glucagon products, subject to customary reductions.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clinical development activities, we entered into the Clinical Supply Agreement with Xeris and incurred $0.9 million of costs for Phase 2 clinical materials during 2024, with the remaining balance paid in early 2025. In May 2026, we entered into a letter agreement under the Clinical Supply Agreement with Xeris for additional Phase 2 clinical material to support ongoing development activities for our bihormonal system. We expect to incur up to $5.1 million in additional development and manufacturing costs related to Phase 3 activities, of which $4.0 million had been paid as of June 30, 2026. Amounts are recorded as prepaid expenses and expensed to research and development as services are performed. The Company may incur additional research and development expenses and, upon commercialization, royalty obligations under these agreements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Development and Commercial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summary of the key terms of certain of our development and commercial agreements. For a more detailed description of these agreements, see “Business—Development and Commercial Agreements” in our Annual Report on Form 10-K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Commercialization Agreement and Development and Commercialization Agreement with DexCom, Inc. and Abbott Diabetes Care Inc., respectively, related to integrated automated insulin delivery systems. These agreements primarily involve shared development responsibilities and cross-licensing of technology and trademarks and do not require upfront payments, milestone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or ongoing royalty obligations. As a result, these arrangements have not had a material direct impact on our results of operations or cash flows to date, though they may affect future operating expenses associated with development, regulatory activities, and commercialization. As of June 30, 2026, there have been no material changes to the terms of these agreements or their impact on our results of operations or cash flows.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Key Factors Affecting Our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address the factors below is subject to various risks and uncertainties, including those described in the section titled “Risk Factors” in our Annual Report on Form 10-K for the year ended December 31, 2025, and the risk factors described in Part II, Item 1A. “Risk Factors” in this Quarterly Report on Form 10-Q.</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New Patient Adoption and iLet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 has largely been driven by, and in the future will continue to be impacted by, the rate of sales of our products to new patients. Management focuses on new patient starts as a key indicator of current business success. We expect our new patient starts to continue to grow as we increase penetration in our existing markets and expand into, or offer new features and solutions that appeal to, new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plan to grow our sales in the coming years through multiple strategies, including expanding our sales efforts to focus on the more diffuse population of people with T1D who are treated by PCP over time, expanding our marketing initiatives including via the Bionic Universe, leveraging our partnerships with global leaders in CGM technology like Dexcom and Abbott, growing our internal customer support team, continuing to enhance our product offerings and pursuing a multi-channel coverage and reimbursement strategy.</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Third-Party Payor Reimbursement and Impact of Our Multi-Channel Reimbursement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medical device company, our revenue and results of operations may be impacted if we are unable to secure sufficient coverage or reimbursement from third-party payors for our current or future products, or if reimbursement structures change under our multi-channel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pursuing a multi-channel coverage and reimbursement strategy to maximize access to the iLet within the T1D population, provide flexibility for PWD in choosing their device and provide PWD with advantageous coverage and reimbursement terms. We are working with payors to establish coverage and reimbursement under both the DME and PBP channels as we believe this strategy increases access and optimizes the potential for better medical outcomes for PWD through the adoption of the iLet. The DME and PBP channels for the iLet and its single-use products entail different payment outlays and therefore differentially impact PWD and our financial results. When considering the overall economics over the lifetime of each iLet, sales through the DME channel generally result in higher upfront cash flows from the large, upfront payment and reimbursement for the iLet, but lead to lower cash flows over time as the user purchases the necessary single-use products. By contrast, sales through the PBP channel generally result in lower upfront cash flows from the small payment and reimbursement for the iLet, but lead to higher cash flows over time as the user purchases the necessary single-use products. This is because single-use products under the PBP channel are sold at a much higher per unit cost than under the DME. As a result of a small amount of revenue recognized at or around the date the iLet is sold in the PBP channel, we absorb initial negative gross margin. iLet sales in the PBP channel are generally expected to start generating cumulative positive gross margin for us following the third month the user utilizes the iLet and continues to purchase single-use products. For the six months ended June 30, 2026 and 2025, PBP channel sales represented 37% and 21%, respectively, of net sales. When comparing sales through the DME and PBP channels, we expect sales through the PBP channel will have a more favorable economic impact on our financial results over the lifetime of the iLet. To the extent that our mix of channel reimbursement fluctuates, our financial results may vary from period to period.</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Continued Investment In Growth and Innovation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growth has been driven by rapid innovation and quick adoption of our products by our customer base. We intend to continue to make focused investments to increase revenue and grow our business, and therefore expect expenses in this area to increase.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invested, and will continue to invest, significantly in our manufacturing capabilities and commercial and customer support infrastructure. We expect that our 50,000 square foot facility in Irvine, California, which commenced operations in 2020, will have sufficient production capacity to support our anticipated clinical and commercial demand for the foreseeable future. We also plan to invest in sales and marketing activities, expect to incur additional general and administrative expenses and to have higher stock-based compensation expenses as we support our growth.</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medical device industry is intensely competitive, subject to rapid change and highly sensitive to the introduction of new products, treatment techniques or technologies. We expect our business to be impacted by the introduction of new diabetes devices and treatments by us or our competitors. In order to maintain our competitive position in the marketplace, we intend, through our experienced research and development team, to continue investing in disruptive technologies, such as a patch pump and a bihormonal system of the iLet, as well as pursuing the development of the iLet for expanded patient populations and indications such as people with T2D.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cost of revenue, operating expenses and capital expenditures fluctuate over time, we may experience short-term, negative impacts to our results of operations and cash flows, but we are undertaking such investments in the belief that they will contribute to long-term growth. Moreover, introduction of new products may negatively impact aspects of our financial performance such as our overall gross margins.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Regulatory Approvals and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medical devices we manufacture are subject to laws and regulation by numerous regulatory bodies, including the FDA. The laws and regulations govern, among other things, the research and development, design, testing, manufacture, packaging, storage, recordkeeping, approval, labeling, promotion, post-approval monitoring and reporting, distribution and import and export of medical devices. Any adverse event involving any products that we distribute could result in future corrective actions, such as recalls or customer notifications, or regulatory agency actions, which could include warning letters, inspection, mandatory recalls or other enforcement actions. For example, in January 2026, we received a Warning Letter (“Warning Letter”) from the FDA following inspection of our facility in Irvine, California that occurred from June 9, 2025 through June 26, 2025. In the Warning Letter, the FDA cited deficiencies in the response letters we sent to the FDA following the FDA’s issuance of a Form 483, List of Inspectional Observations (“Form 483”) in June 2025. The Warning Letter highlights non-conformities observed by the FDA in relation to our Quality Management System, Medical Device Reporting, and Correction and Removals, which were previously communicated by the FDA in the Form 483. We have responded to the FDA regarding the Warning Letter and continue to work to address the FDA’s observations. In the future, we also intend to pursue additional products, such as Mint, our patch pump, and a bihormonal system of the iLet, as well as pursue the development of the iLet for expanded patient populations and indications such as people with T2D, which will increase our expenses and subject us to increased regulatory-related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information regarding regulatory approval and actions, including the Warning Letter and the Form 483, see the section titled “Business—Government Regulation and Product Approval” in Part I, Item 1. “Business” in our Annual Report on Form 10-K for the year ended December 31, 2025, the related risk factors described in Part I, Item 1A. “Risk Factors” in our Annual Report on Form 10-K for the year ended December 31, 2025, and the risk factors described in Part II, Item 1A. “Risk Factors” in this Quarterly Report on Form 10-Q.</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the revenue generated from our product sales will vary from quarter to quarter as we continue to commercialize the iLet. Specifically, we expect to typically experience lower sales in the first quarter of each year compared to the preceding fourth quarter. This seasonal sales pattern in the United States is associated with the annual insurance deductible resets and coinsurance requirements of the medical insurance plans providing coverage to PWD using the iLet.</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Macroeconomic Factors, Global Supply Chain Challenges and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costs are subject to fluctuation, and we continue to evaluate contributing factors, specifically those leading to inflationary cost increases in logistics, price of raw materials, cost of labor, transportation and operating supplies. While we are experiencing higher raw material, labor, transportation, and operating supply costs, we intend to continue to work to improve productivity to help offset these costs as we navigate these global macroeconomic challenges, including tariffs or other trade measures, future bank failures, increased geopolitical tensions and conflicts, global pandemics, global economic conditions, including changes in monetary and fiscal policy, U.S. political developments and other sources of instability.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on a number of suppliers who manufacture the components of the iLet and obtain them on a purchase order basis. We have a supply agreement with Unomedical for the production of infusion sets for our iLet, a contract manufacturing agreement with PMC SMART Solutions LLC (PMC) for the manufacture of our cartridge connectors and a supplier quality agreement with Maxon Precision Motors, Inc. (Maxon) for the supply of pump motors for our iLet. Unomedical, PMC and Maxon are our only suppliers of infusion sets, cartridge connections and pump motors, respectively. For additional information regarding the risks of our reliance on these suppliers, please see the risk factors described in Part I, Item 1A. “Risk Factors” in our Annual Report on Form 10-K for the year ended December 31, 2025, and the risk factors described in Part II, Item 1A. “Risk Factors” in this Quarterly Report on Form 10-Q.</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experienced a material interruption in supply to our customers. However, there may be times at which we determine that our inventory does not meet our product requirements or we maintain an insufficient level of inventory. We may also over- or underestimate the quantities of required components, in which case we may expend extra resources or be constrained in the amount of end product that we can procure. These factors subject us to the risk of obsolescence and expiration, which may lead to impairment charges.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Components of Results of Operations</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product revenue from the sale of the iLet and single-use products that are used together with the iLet, including cartridges for storing and delivering insulin, and infusion sets that connect the insulin pump to a user’s body. We recognize revenue when control of the promised goods or services is transferred to our distributor and pharmacy partners, in an amount that reflects the consideration we expect to receive, net of estimated returns and variable consideration adjustments, including rebates, chargebacks and patient assistance, which differ by product and sales mix. Revenue is recognized either over time or at a point in time, depending on when control of the associated performance obligation is transferred to the customer.</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includes raw materials, labor costs, manufacturing overhead expenses, royalties, freight, import tariffs, scrap and reserves for expected warranty costs and excess and obsolete inventory. Manufacturing overhead expenses include expenses relating to manufacturing engineering, material procurement, inventory and quality control, facilities, depreciation, information technology and operations supervision and management.</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and gross margin, or gross profit as a percentage of revenue, has been and will continue to be affected by various factors, including the timing of new patient adoption, iLet and associated single-use products sales, reimbursement, length of product usage, our introduction of new products, including the costs associated with producing and bringing those new products to market, cost reduction and operational efficiency. As a result of the small revenue recognized at or around the date the iLet is sold in the PBP channel, we absorb initial negative gross margin. iLet sales in the PBP channel are generally expected to start generating cumulative positive gross margin for us beyond the third month the user uses the iLet and continues to purchase single-use products. Given the differences in the timing and amount of outlays which correlate directly to revenue between the DME and PBP channels, changes in our future sales mix may also impact our gross profit and gross margin.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expenses consist of (i) research and development expenses, (ii) sales and marketing expenses and (iii) general and administrative expenses.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include engineering and clinical trial activities for the iLet, regulatory efforts, personnel costs such as salaries, bonuses, stock-based compensation and benefits, payments under third-party license agreements, supplies, development prototypes, design and testing services, depreciation and allocated facilities and information technology expenses, all of which are expensed as incurred. We track research and development expenses by individual product candidate. We expect research and development expenses to increase significantly for the foreseeable future as we advance clinical development, pursue new products and indications including the bihormonal system, Mint, our patch pump, and potential T2D use, expand technical and operational staffing, make required payments under license arrangements, and establish commercial scale manufacturing capabilities.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Sales and Marketing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early commercialization stages of the iLet and are focused on driving awareness and adoption among new customers. Sales and marketing expenses primarily include personnel costs for our sales and clinical teams, the development of customer support infrastructure, marketing and branding activities, healthcare conference and market research costs, payer education and market access initiatives, data purchases, website and consulting fees, and facilities, travel, and other related operating expenses. We anticipate a significant increase in sales and marketing expenses for the foreseeable future to support the continued commercialization of the iLet and our future products.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include personnel-related costs, including salaries, bonuses, stock-based compensation expense and benefits for our personnel in executive, legal, finance, accounting, human resources, information technology, quality assurance and other administrative functions, as well as expenses for patent filings, legal services, accounting and tax services, insurance, travel, facilities and depreciation. We expect these expenses to increase significantly as we continue operating as a public company, driven by higher professional services costs, director and officer insurance, investor and public relations activities and compliance with SEC and stock exchange listing requirements. We anticipate a significant increase in general and administrative expenses for the foreseeable future in order to continue to scale the business and support future demand.</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Heading2"/>
        <w:bidi w:val="0"/>
        <w:spacing w:before="120" w:after="283"/>
        <w:jc w:val="left"/>
        <w:rPr>
          <w:rFonts w:ascii="Times New Roman" w:hAnsi="Times New Roman"/>
          <w:b w:val="false"/>
          <w:color w:val="000000"/>
          <w:sz w:val="20"/>
        </w:rPr>
      </w:pPr>
      <w:r>
        <w:rPr>
          <w:rFonts w:ascii="Times New Roman" w:hAnsi="Times New Roman"/>
          <w:b w:val="false"/>
          <w:color w:val="000000"/>
          <w:sz w:val="20"/>
        </w:rPr>
        <w:t>Our other income (expense) consists of (i) interest income, and (ii) other income (expense).</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of cash interest earned on our cash, cash equivalents and short-term and long-term investment balances.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Other Income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(expense) consists of miscellaneous income or expenses unrelated to our core operations.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Results of Operations </w:t>
      </w:r>
    </w:p>
    <w:p>
      <w:pPr>
        <w:pStyle w:val="Heading2"/>
        <w:bidi w:val="0"/>
        <w:spacing w:before="120" w:after="283"/>
        <w:jc w:val="left"/>
        <w:rPr>
          <w:rFonts w:ascii="Times New Roman" w:hAnsi="Times New Roman"/>
          <w:i/>
          <w:color w:val="000000"/>
          <w:sz w:val="20"/>
        </w:rPr>
      </w:pPr>
      <w:r>
        <w:rPr>
          <w:rFonts w:ascii="Times New Roman" w:hAnsi="Times New Roman"/>
          <w:i/>
          <w:color w:val="000000"/>
          <w:sz w:val="20"/>
        </w:rPr>
        <w:t>Comparison of the three and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w:t>
      </w:r>
    </w:p>
    <w:p>
      <w:pPr>
        <w:pStyle w:val="TextBody"/>
        <w:bidi w:val="0"/>
        <w:spacing w:before="120" w:after="283"/>
        <w:jc w:val="left"/>
        <w:rPr/>
      </w:pPr>
      <w:r>
        <w:rPr/>
        <w:t> </w:t>
      </w:r>
    </w:p>
    <w:tbl>
      <w:tblPr>
        <w:tblW w:w="8394" w:type="dxa"/>
        <w:jc w:val="left"/>
        <w:tblInd w:w="0" w:type="dxa"/>
        <w:tblLayout w:type="fixed"/>
        <w:tblCellMar>
          <w:top w:w="28" w:type="dxa"/>
          <w:left w:w="28" w:type="dxa"/>
          <w:bottom w:w="28" w:type="dxa"/>
          <w:right w:w="28" w:type="dxa"/>
        </w:tblCellMar>
      </w:tblPr>
      <w:tblGrid>
        <w:gridCol w:w="3236"/>
        <w:gridCol w:w="146"/>
        <w:gridCol w:w="216"/>
        <w:gridCol w:w="756"/>
        <w:gridCol w:w="170"/>
        <w:gridCol w:w="149"/>
        <w:gridCol w:w="216"/>
        <w:gridCol w:w="756"/>
        <w:gridCol w:w="166"/>
        <w:gridCol w:w="146"/>
        <w:gridCol w:w="211"/>
        <w:gridCol w:w="676"/>
        <w:gridCol w:w="166"/>
        <w:gridCol w:w="146"/>
        <w:gridCol w:w="146"/>
        <w:gridCol w:w="376"/>
        <w:gridCol w:w="716"/>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32,013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13,111</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(25,578</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(23,403</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tbl>
      <w:tblPr>
        <w:tblW w:w="8917" w:type="dxa"/>
        <w:jc w:val="left"/>
        <w:tblInd w:w="0" w:type="dxa"/>
        <w:tblLayout w:type="fixed"/>
        <w:tblCellMar>
          <w:top w:w="28" w:type="dxa"/>
          <w:left w:w="28" w:type="dxa"/>
          <w:bottom w:w="28" w:type="dxa"/>
          <w:right w:w="28" w:type="dxa"/>
        </w:tblCellMar>
      </w:tblPr>
      <w:tblGrid>
        <w:gridCol w:w="3651"/>
        <w:gridCol w:w="146"/>
        <w:gridCol w:w="211"/>
        <w:gridCol w:w="736"/>
        <w:gridCol w:w="166"/>
        <w:gridCol w:w="146"/>
        <w:gridCol w:w="211"/>
        <w:gridCol w:w="736"/>
        <w:gridCol w:w="166"/>
        <w:gridCol w:w="146"/>
        <w:gridCol w:w="211"/>
        <w:gridCol w:w="736"/>
        <w:gridCol w:w="166"/>
        <w:gridCol w:w="146"/>
        <w:gridCol w:w="146"/>
        <w:gridCol w:w="481"/>
        <w:gridCol w:w="716"/>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Cost of sales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Sales and marketing</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General and administrative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Heading2"/>
        <w:bidi w:val="0"/>
        <w:jc w:val="left"/>
        <w:rPr>
          <w:rFonts w:ascii="Times New Roman" w:hAnsi="Times New Roman"/>
          <w:sz w:val="20"/>
        </w:rPr>
      </w:pPr>
      <w:r>
        <w:rPr>
          <w:rFonts w:ascii="Times New Roman" w:hAnsi="Times New Roman"/>
          <w:b w:val="false"/>
          <w:color w:val="000000"/>
          <w:sz w:val="11"/>
        </w:rPr>
        <w:t>*</w:t>
      </w:r>
      <w:r>
        <w:rPr>
          <w:rFonts w:ascii="Times New Roman" w:hAnsi="Times New Roman"/>
          <w:color w:val="000000"/>
          <w:sz w:val="20"/>
        </w:rPr>
        <w:t xml:space="preserve"> </w:t>
      </w:r>
      <w:r>
        <w:rPr>
          <w:rFonts w:ascii="Times New Roman" w:hAnsi="Times New Roman"/>
          <w:b w:val="false"/>
          <w:color w:val="000000"/>
          <w:sz w:val="16"/>
        </w:rPr>
        <w:t>Not meaningful</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rFonts w:ascii="Times New Roman" w:hAnsi="Times New Roman"/>
          <w:color w:val="000000"/>
          <w:sz w:val="16"/>
        </w:rPr>
      </w:pPr>
      <w:r>
        <w:rPr>
          <w:rFonts w:ascii="Times New Roman" w:hAnsi="Times New Roman"/>
          <w:color w:val="000000"/>
          <w:sz w:val="16"/>
        </w:rPr>
        <w:t>Includes stock-based compensation expense. See Note 11, Stock-Based Compensation, for stock-based compensation expense by financial statement line item.</w:t>
      </w:r>
    </w:p>
    <w:p>
      <w:pPr>
        <w:pStyle w:val="TextBody"/>
        <w:bidi w:val="0"/>
        <w:jc w:val="left"/>
        <w:rPr/>
      </w:pPr>
      <w:r>
        <w:rPr/>
        <w:t> </w:t>
      </w:r>
    </w:p>
    <w:p>
      <w:pPr>
        <w:pStyle w:val="Heading2"/>
        <w:bidi w:val="0"/>
        <w:spacing w:before="40" w:after="283"/>
        <w:jc w:val="left"/>
        <w:rPr>
          <w:rFonts w:ascii="Times New Roman" w:hAnsi="Times New Roman"/>
          <w:b w:val="false"/>
          <w:i/>
          <w:color w:val="000000"/>
          <w:sz w:val="20"/>
        </w:rPr>
      </w:pPr>
      <w:r>
        <w:rPr>
          <w:rFonts w:ascii="Times New Roman" w:hAnsi="Times New Roman"/>
          <w:b w:val="false"/>
          <w:i/>
          <w:color w:val="000000"/>
          <w:sz w:val="20"/>
        </w:rPr>
        <w:t>Net Sales</w:t>
      </w:r>
    </w:p>
    <w:p>
      <w:pPr>
        <w:pStyle w:val="TextBody"/>
        <w:bidi w:val="0"/>
        <w:spacing w:before="120" w:after="283"/>
        <w:jc w:val="left"/>
        <w:rPr>
          <w:rFonts w:ascii="Times New Roman" w:hAnsi="Times New Roman"/>
          <w:sz w:val="20"/>
        </w:rPr>
      </w:pPr>
      <w:r>
        <w:rPr>
          <w:rFonts w:ascii="Times New Roman" w:hAnsi="Times New Roman"/>
          <w:color w:val="000000"/>
          <w:sz w:val="20"/>
        </w:rPr>
        <w:t>Net sales for the three months ended June 30, 2026 was $32.0 million, compared to $23.2 million for the three months ended June 30, 2025. The increase in net sales of $8.8 million was primarily driven by an increase in the number of single-use products sold, correlated to the growth in our installed base, and growth in new patient starts.</w:t>
      </w:r>
      <w:r>
        <w:rPr>
          <w:rFonts w:ascii="Times New Roman" w:hAnsi="Times New Roman"/>
          <w:color w:val="231F20"/>
          <w:sz w:val="20"/>
        </w:rPr>
        <w:t xml:space="preserve"> </w:t>
      </w:r>
      <w:r>
        <w:rPr>
          <w:rFonts w:ascii="Times New Roman" w:hAnsi="Times New Roman"/>
          <w:color w:val="000000"/>
          <w:sz w:val="20"/>
        </w:rPr>
        <w:t>For the three months ended June 30, 2026, single-use products accounted for 60% of net sales, up from 41% for the three months ended June 30,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2026, 64% of net sales were generated through the DME channel and 36% through the PBP channel, compared to 80% and 20%, respectively, for the three months ended June 30, 2025. The shift toward the PBP channel was driven by expanded pharmacy benefit coverage enabled through contracts with PBMs and their affiliated health plans, resulting in a higher proportion of new patient starts being reimbursed through this channel.</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sales for the six months ended June 30, 2026 was $59.6 million, compared to $40.9 million for the </w:t>
      </w:r>
      <w:r>
        <w:rPr>
          <w:rFonts w:ascii="Times New Roman" w:hAnsi="Times New Roman"/>
          <w:color w:val="231F20"/>
          <w:sz w:val="20"/>
        </w:rPr>
        <w:t>six months ended June 30, 2025</w:t>
      </w:r>
      <w:r>
        <w:rPr>
          <w:rFonts w:ascii="Times New Roman" w:hAnsi="Times New Roman"/>
          <w:color w:val="000000"/>
          <w:sz w:val="20"/>
        </w:rPr>
        <w:t>. This increase in net sales of $18.7 million was primarily driven by an increase in the number of single-use products sold, correlated to the growth in our installed base, and growth in new patient starts.</w:t>
      </w:r>
      <w:r>
        <w:rPr>
          <w:rFonts w:ascii="Times New Roman" w:hAnsi="Times New Roman"/>
          <w:color w:val="231F20"/>
          <w:sz w:val="20"/>
        </w:rPr>
        <w:t xml:space="preserve"> </w:t>
      </w:r>
      <w:r>
        <w:rPr>
          <w:rFonts w:ascii="Times New Roman" w:hAnsi="Times New Roman"/>
          <w:color w:val="000000"/>
          <w:sz w:val="20"/>
        </w:rPr>
        <w:t xml:space="preserve">For the </w:t>
      </w:r>
      <w:r>
        <w:rPr>
          <w:rFonts w:ascii="Times New Roman" w:hAnsi="Times New Roman"/>
          <w:color w:val="231F20"/>
          <w:sz w:val="20"/>
        </w:rPr>
        <w:t>six months ended June 30, 2026</w:t>
      </w:r>
      <w:r>
        <w:rPr>
          <w:rFonts w:ascii="Times New Roman" w:hAnsi="Times New Roman"/>
          <w:color w:val="000000"/>
          <w:sz w:val="20"/>
        </w:rPr>
        <w:t xml:space="preserve">, single-use products accounted for 61% of net sales, up from 42% for the </w:t>
      </w:r>
      <w:r>
        <w:rPr>
          <w:rFonts w:ascii="Times New Roman" w:hAnsi="Times New Roman"/>
          <w:color w:val="231F20"/>
          <w:sz w:val="20"/>
        </w:rPr>
        <w:t>six months ended June 30, 2025</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For the </w:t>
      </w:r>
      <w:r>
        <w:rPr>
          <w:rFonts w:ascii="Times New Roman" w:hAnsi="Times New Roman"/>
          <w:color w:val="231F20"/>
          <w:sz w:val="20"/>
        </w:rPr>
        <w:t>six months ended June 30, 2026</w:t>
      </w:r>
      <w:r>
        <w:rPr>
          <w:rFonts w:ascii="Times New Roman" w:hAnsi="Times New Roman"/>
          <w:color w:val="000000"/>
          <w:sz w:val="20"/>
        </w:rPr>
        <w:t xml:space="preserve">, 63% of net sales were generated through the DME channel and 37% through the PBP channel, compared to 79% and 21%, respectively, for the </w:t>
      </w:r>
      <w:r>
        <w:rPr>
          <w:rFonts w:ascii="Times New Roman" w:hAnsi="Times New Roman"/>
          <w:color w:val="231F20"/>
          <w:sz w:val="20"/>
        </w:rPr>
        <w:t xml:space="preserve">six months ended June 30, 2025. </w:t>
      </w:r>
      <w:r>
        <w:rPr>
          <w:rFonts w:ascii="Times New Roman" w:hAnsi="Times New Roman"/>
          <w:color w:val="000000"/>
          <w:sz w:val="20"/>
        </w:rPr>
        <w:t>The shift toward the PBP channel was driven by expanded pharmacy benefit coverage, resulting in a larger percentage of new patient starts reimbursed through this channel.</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for the three months ended June 30, 2026 was $13.1 million, compared to $10.7 million for the three months ended June 30, 2025. This increase of $2.4 million was primarily attributable to increased volumes of single-use products and pharmacy iLets.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Cost of sales for the </w:t>
      </w:r>
      <w:r>
        <w:rPr>
          <w:rFonts w:ascii="Times New Roman" w:hAnsi="Times New Roman"/>
          <w:color w:val="231F20"/>
          <w:sz w:val="20"/>
        </w:rPr>
        <w:t xml:space="preserve">six months ended June 30, 2026 </w:t>
      </w:r>
      <w:r>
        <w:rPr>
          <w:rFonts w:ascii="Times New Roman" w:hAnsi="Times New Roman"/>
          <w:color w:val="000000"/>
          <w:sz w:val="20"/>
        </w:rPr>
        <w:t xml:space="preserve">was $24.3 million, compared to $19.4 million for the </w:t>
      </w:r>
      <w:r>
        <w:rPr>
          <w:rFonts w:ascii="Times New Roman" w:hAnsi="Times New Roman"/>
          <w:color w:val="231F20"/>
          <w:sz w:val="20"/>
        </w:rPr>
        <w:t>six months ended June 30, 2025</w:t>
      </w:r>
      <w:r>
        <w:rPr>
          <w:rFonts w:ascii="Times New Roman" w:hAnsi="Times New Roman"/>
          <w:color w:val="000000"/>
          <w:sz w:val="20"/>
        </w:rPr>
        <w:t>. This increase of $4.9 million was primarily attributable to increased volumes of single-use products and pharmacy iLets.</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Gross Profit and 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for the three months ended June 30, 2026 was $18.9 million, compared to $12.5 million for the three months ended June 30, 2025. Gross margin was 59% for the three months ended June 30, 2026, compared to 54% in the three months ended June 30, 2025. Gross profit increased by $6.4 million, primarily driven by higher sales volume. Gross margin improved year over year due to increased production scale, lower warranty expense and improved cost absorption.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for the six months ended June 30, 2026 was $35.3 million, compared to $21.5 million for the six months ended June 30, 2025. Gross margin was 59% for the six months ended June 30, 2026, compared to 53% in the six months ended June 30, 2025. Gross profit increased by $13.8 million, primarily driven by higher sales volume. Gross margin improved year over year due to increased production scale, lower warranty expense and improved cost absorption.</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Research and Development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Research and development expenses for the three months ended June 30, 2026 </w:t>
      </w:r>
      <w:r>
        <w:rPr>
          <w:rFonts w:ascii="Times New Roman" w:hAnsi="Times New Roman"/>
          <w:color w:val="231F20"/>
          <w:sz w:val="20"/>
        </w:rPr>
        <w:t xml:space="preserve">was </w:t>
      </w:r>
      <w:r>
        <w:rPr>
          <w:rFonts w:ascii="Times New Roman" w:hAnsi="Times New Roman"/>
          <w:color w:val="000000"/>
          <w:sz w:val="20"/>
        </w:rPr>
        <w:t>$10.2 million, compared to $8.9 million for the three months ended June 30, 2025. The increase of $1.3 million was primarily attributable to a net increase of $1.5 million in payroll-related expenses, including stock-based compensation, driven by an increase in headcount focused on supporting our innovation activities. This increase was partially offset by lower materials and clinical trial-related expenses incurred in the development of Mint, our patch pump, the bihormonal system of the iLet and incremental software and product updates, primarily due to the timing of development activities and the completion of certain milestones.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Research and development expenses for the </w:t>
      </w:r>
      <w:r>
        <w:rPr>
          <w:rFonts w:ascii="Times New Roman" w:hAnsi="Times New Roman"/>
          <w:color w:val="231F20"/>
          <w:sz w:val="20"/>
        </w:rPr>
        <w:t xml:space="preserve">six months ended June 30, 2026 was </w:t>
      </w:r>
      <w:r>
        <w:rPr>
          <w:rFonts w:ascii="Times New Roman" w:hAnsi="Times New Roman"/>
          <w:color w:val="000000"/>
          <w:sz w:val="20"/>
        </w:rPr>
        <w:t xml:space="preserve">$20.6 million, compared to $16.5 million for the </w:t>
      </w:r>
      <w:r>
        <w:rPr>
          <w:rFonts w:ascii="Times New Roman" w:hAnsi="Times New Roman"/>
          <w:color w:val="231F20"/>
          <w:sz w:val="20"/>
        </w:rPr>
        <w:t>six months ended June 30, 2025</w:t>
      </w:r>
      <w:r>
        <w:rPr>
          <w:rFonts w:ascii="Times New Roman" w:hAnsi="Times New Roman"/>
          <w:color w:val="000000"/>
          <w:sz w:val="20"/>
        </w:rPr>
        <w:t>. The increase of $4.1 million was primarily attributable to a net increase of $3.0 million in payroll-related expenses, including stock-based compensation, driven by an increase in headcount focused on supporting our innovation activities. The remaining increase is primarily attributable to higher materials and engineering expenses incurred in the development of Mint, our patch pump, the bihormonal system of the iLet and incremental software and product updates, partially offset by lower clinical trial-related expenses due to the timing of trial activities and completion of certain prior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table below summarizes the nature of research and development expense by major expense category:</w:t>
      </w:r>
    </w:p>
    <w:p>
      <w:pPr>
        <w:pStyle w:val="TextBody"/>
        <w:bidi w:val="0"/>
        <w:spacing w:before="40" w:after="283"/>
        <w:jc w:val="left"/>
        <w:rPr/>
      </w:pPr>
      <w:r>
        <w:rPr/>
        <w:t> </w:t>
      </w:r>
    </w:p>
    <w:tbl>
      <w:tblPr>
        <w:tblW w:w="8113" w:type="dxa"/>
        <w:jc w:val="left"/>
        <w:tblInd w:w="0" w:type="dxa"/>
        <w:tblLayout w:type="fixed"/>
        <w:tblCellMar>
          <w:top w:w="28" w:type="dxa"/>
          <w:left w:w="28" w:type="dxa"/>
          <w:bottom w:w="28" w:type="dxa"/>
          <w:right w:w="28" w:type="dxa"/>
        </w:tblCellMar>
      </w:tblPr>
      <w:tblGrid>
        <w:gridCol w:w="3421"/>
        <w:gridCol w:w="146"/>
        <w:gridCol w:w="243"/>
        <w:gridCol w:w="781"/>
        <w:gridCol w:w="168"/>
        <w:gridCol w:w="168"/>
        <w:gridCol w:w="243"/>
        <w:gridCol w:w="659"/>
        <w:gridCol w:w="146"/>
        <w:gridCol w:w="146"/>
        <w:gridCol w:w="211"/>
        <w:gridCol w:w="571"/>
        <w:gridCol w:w="166"/>
        <w:gridCol w:w="146"/>
        <w:gridCol w:w="146"/>
        <w:gridCol w:w="376"/>
        <w:gridCol w:w="37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External 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Internal research and development</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10,240</w:t>
            </w:r>
          </w:p>
        </w:tc>
        <w:tc>
          <w:tcPr>
            <w:tcW w:w="1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tbl>
      <w:tblPr>
        <w:tblW w:w="7919" w:type="dxa"/>
        <w:jc w:val="left"/>
        <w:tblInd w:w="0" w:type="dxa"/>
        <w:tblLayout w:type="fixed"/>
        <w:tblCellMar>
          <w:top w:w="28" w:type="dxa"/>
          <w:left w:w="28" w:type="dxa"/>
          <w:bottom w:w="28" w:type="dxa"/>
          <w:right w:w="28" w:type="dxa"/>
        </w:tblCellMar>
      </w:tblPr>
      <w:tblGrid>
        <w:gridCol w:w="3421"/>
        <w:gridCol w:w="146"/>
        <w:gridCol w:w="211"/>
        <w:gridCol w:w="677"/>
        <w:gridCol w:w="146"/>
        <w:gridCol w:w="146"/>
        <w:gridCol w:w="211"/>
        <w:gridCol w:w="677"/>
        <w:gridCol w:w="146"/>
        <w:gridCol w:w="146"/>
        <w:gridCol w:w="211"/>
        <w:gridCol w:w="571"/>
        <w:gridCol w:w="166"/>
        <w:gridCol w:w="146"/>
        <w:gridCol w:w="146"/>
        <w:gridCol w:w="376"/>
        <w:gridCol w:w="37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7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External research and development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Internal research and development</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External research and development costs primarily include expenses incurred with third parties such as clinical research organizations conducting the clinical trials and engineering and product development consulting services associated with our development of the iLet.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Internal research and development costs primarily include personnel-related expenses for research and development functions, excluding stock-based compensation and internal costs to manufacture product candidates before FDA marketing authorization, such as raw materials and internal facilities-related expenses.</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Sales and Marketing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for the three months ended June 30, 2026 was $24.6 million, compared to $15.6 million for the three months ended June 30, 2025. The increase of $9.0 million was primarily attributable to an increase of $6.0 million in payroll-related costs, including salaries and wages, sales incentive bonuses, and stock-based compensation due to an increase in headcount of our sales force and customer care team in connection with the expansion of our sales territories within the United States. The remaining increase includes healthcare provider (HCP)-related marketing and training and travel-related costs to support our business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and marketing expenses for the six months ended June 30, 2026 was $45.4 million, compared to $29.0 million for the six months ended June 30, 2025. The increase of $16.4 million was primarily attributable to an increase of $11.3 million in payroll-related costs, including salaries and wages, sales incentive bonuses, and stock-based compensation due to an increase in headcount of our sales force and customer care team in connection with the expansion of our sales territories within the United States. The remaining increase includes HCP-related marketing and training and travel-related costs to support our business growth.</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three months ended June 30, 2026 was $9.6 million, compared to $7.9 million for the three months ended June 30, 2025. The increase of $1.7 million was primarily attributable to an increase of $1.4 million in payroll-related expenses, including stock-based compensation, due to an increase in headcount, as well as increases in software-related expenses and legal fees. These increases were partially offset by a decrease in accounting and other professional service fees.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for the six months ended June 30, 2026 was $19.2 million, compared to $14.5 million for the six months ended June 30, 2025. The increase of $4.7 million was primarily attributable to an increase of $2.7 million in payroll-related expenses, including stock-based compensation, due to an increase in headcount, as well as increases in software-related expenses, quality remediation expenses, and legal fees. These increases were partially offset by a decrease in accounting and other professional service fees.</w:t>
      </w:r>
    </w:p>
    <w:p>
      <w:pPr>
        <w:pStyle w:val="Heading2"/>
        <w:bidi w:val="0"/>
        <w:spacing w:before="360" w:after="120"/>
        <w:jc w:val="left"/>
        <w:rPr>
          <w:rFonts w:ascii="Times New Roman" w:hAnsi="Times New Roman"/>
          <w:b w:val="false"/>
          <w:i/>
          <w:color w:val="000000"/>
          <w:sz w:val="20"/>
        </w:rPr>
      </w:pPr>
      <w:r>
        <w:rPr>
          <w:rFonts w:ascii="Times New Roman" w:hAnsi="Times New Roman"/>
          <w:b w:val="false"/>
          <w:i/>
          <w:color w:val="000000"/>
          <w:sz w:val="20"/>
        </w:rPr>
        <w:t>Other Income (Expense)</w:t>
      </w:r>
    </w:p>
    <w:p>
      <w:pPr>
        <w:pStyle w:val="TextBody"/>
        <w:bidi w:val="0"/>
        <w:jc w:val="left"/>
        <w:rPr>
          <w:rFonts w:ascii="Times New Roman" w:hAnsi="Times New Roman"/>
          <w:color w:val="000000"/>
          <w:sz w:val="20"/>
        </w:rPr>
      </w:pPr>
      <w:r>
        <w:rPr>
          <w:rFonts w:ascii="Times New Roman" w:hAnsi="Times New Roman"/>
          <w:color w:val="000000"/>
          <w:sz w:val="20"/>
        </w:rPr>
        <w:t>Total other income (expense), net for the three months ended June 30, 2026 was $2.2 million of income, compared to $3.0 million of income for the three months ended June 30, 2025. This change of $0.8 million was primarily attributable to lower interest income on investments, reflecting a reduction in invested balances as IPO proceeds were used to fund 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(expense), net for the six months ended June 30, 2026 was $4.6 million of income, compared to $7.0 million of expense for the six months ended June 30, 2025. This change of $11.6 million was primarily attributable to the absence of a loss from the change in fair value of warrant liabilities in the current period, as the warrants were remeasured and net exercised in connection with the Company’s IPO in January 2025, partially offset by lower interest income on investments, reflecting a reduction in invested balances as IPO proceeds were used to fund operating activities.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Selected Quarterly Financial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set forth our selected unaudited quarterly statements of operations data for each of the eight quarters in the period ended June 30, 2026. The information for each of these quarters has been prepared in accordance with GAAP, on a basis consistent with our unaudited condensed financial statements included elsewhere in this Quarterly Report and our audited financial statements included in our Annual Report on Form 10-K for the year ended December 31, 2025 and include, in our opinion, all normal recurring adjustments necessary for the fair presentation of the results of operations for the periods presented, with the exception of adjusted earnings before interest, taxes, depreciation and amortization (EBITDA), which is a non-GAAP financial measure discussed below. Our historical quarterly results are not necessarily indicative of the results that may be expected in the future and these quarterly results are not necessarily indicative of our operating results for a full year. The following quarterly financial information should be read in conjunction with our financial statements and related notes thereto included elsewhere in this Quarterly Report.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set forth our selected unaudited quarterly statements of operations data for the periods presented: </w:t>
      </w:r>
    </w:p>
    <w:p>
      <w:pPr>
        <w:pStyle w:val="TextBody"/>
        <w:bidi w:val="0"/>
        <w:spacing w:before="40" w:after="283"/>
        <w:jc w:val="left"/>
        <w:rPr/>
      </w:pPr>
      <w:r>
        <w:rPr/>
        <w:t> </w:t>
      </w:r>
    </w:p>
    <w:tbl>
      <w:tblPr>
        <w:tblW w:w="9989" w:type="dxa"/>
        <w:jc w:val="left"/>
        <w:tblInd w:w="0" w:type="dxa"/>
        <w:tblLayout w:type="fixed"/>
        <w:tblCellMar>
          <w:top w:w="28" w:type="dxa"/>
          <w:left w:w="28" w:type="dxa"/>
          <w:bottom w:w="28" w:type="dxa"/>
          <w:right w:w="28" w:type="dxa"/>
        </w:tblCellMar>
      </w:tblPr>
      <w:tblGrid>
        <w:gridCol w:w="2661"/>
        <w:gridCol w:w="146"/>
        <w:gridCol w:w="353"/>
        <w:gridCol w:w="1192"/>
        <w:gridCol w:w="241"/>
        <w:gridCol w:w="146"/>
        <w:gridCol w:w="343"/>
        <w:gridCol w:w="1157"/>
        <w:gridCol w:w="241"/>
        <w:gridCol w:w="146"/>
        <w:gridCol w:w="288"/>
        <w:gridCol w:w="972"/>
        <w:gridCol w:w="241"/>
        <w:gridCol w:w="146"/>
        <w:gridCol w:w="257"/>
        <w:gridCol w:w="868"/>
        <w:gridCol w:w="591"/>
      </w:tblGrid>
      <w:tr>
        <w:trPr/>
        <w:tc>
          <w:tcPr>
            <w:tcW w:w="2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1"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32,013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Cost of sales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12,134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13,177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11,189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16,437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18,902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Research and development</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Sales and marketing</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16,334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General and administrative</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32,162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35,068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40,708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(17,043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(24,271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(14,209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(13,466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(21,895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(23,403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(12,179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(17,656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022"/>
        <w:gridCol w:w="146"/>
        <w:gridCol w:w="341"/>
        <w:gridCol w:w="1154"/>
        <w:gridCol w:w="241"/>
        <w:gridCol w:w="146"/>
        <w:gridCol w:w="332"/>
        <w:gridCol w:w="1120"/>
        <w:gridCol w:w="241"/>
        <w:gridCol w:w="146"/>
        <w:gridCol w:w="281"/>
        <w:gridCol w:w="949"/>
        <w:gridCol w:w="241"/>
        <w:gridCol w:w="146"/>
        <w:gridCol w:w="252"/>
        <w:gridCol w:w="852"/>
        <w:gridCol w:w="595"/>
      </w:tblGrid>
      <w:tr>
        <w:trPr/>
        <w:tc>
          <w:tcPr>
            <w:tcW w:w="3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4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percentages)</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16,705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23,238</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Cost of sales</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8,668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11,689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12,503</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Research and development</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8,873</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Sales and marketing</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15,623</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General and administrative</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4,708</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7,879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19,891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24,726</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27,613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32,375</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(10,977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(18,642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(19,872</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3,005</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(12,450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(10,014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3,003</w:t>
            </w:r>
          </w:p>
        </w:tc>
        <w:tc>
          <w:tcPr>
            <w:tcW w:w="5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(28,656</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(16,869</w:t>
            </w:r>
          </w:p>
        </w:tc>
        <w:tc>
          <w:tcPr>
            <w:tcW w:w="5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0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(8,672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(14,526</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Includes stock-based compensation expense as follows:</w:t>
      </w:r>
    </w:p>
    <w:p>
      <w:pPr>
        <w:pStyle w:val="TextBody"/>
        <w:bidi w:val="0"/>
        <w:jc w:val="left"/>
        <w:rPr/>
      </w:pPr>
      <w:r>
        <w:rPr/>
        <w:t> </w:t>
      </w:r>
    </w:p>
    <w:tbl>
      <w:tblPr>
        <w:tblW w:w="10094" w:type="dxa"/>
        <w:jc w:val="left"/>
        <w:tblInd w:w="0" w:type="dxa"/>
        <w:tblLayout w:type="fixed"/>
        <w:tblCellMar>
          <w:top w:w="28" w:type="dxa"/>
          <w:left w:w="28" w:type="dxa"/>
          <w:bottom w:w="28" w:type="dxa"/>
          <w:right w:w="28" w:type="dxa"/>
        </w:tblCellMar>
      </w:tblPr>
      <w:tblGrid>
        <w:gridCol w:w="3451"/>
        <w:gridCol w:w="146"/>
        <w:gridCol w:w="417"/>
        <w:gridCol w:w="1128"/>
        <w:gridCol w:w="146"/>
        <w:gridCol w:w="146"/>
        <w:gridCol w:w="403"/>
        <w:gridCol w:w="1097"/>
        <w:gridCol w:w="146"/>
        <w:gridCol w:w="146"/>
        <w:gridCol w:w="340"/>
        <w:gridCol w:w="920"/>
        <w:gridCol w:w="146"/>
        <w:gridCol w:w="146"/>
        <w:gridCol w:w="303"/>
        <w:gridCol w:w="822"/>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tbl>
      <w:tblPr>
        <w:tblW w:w="10094" w:type="dxa"/>
        <w:jc w:val="left"/>
        <w:tblInd w:w="0" w:type="dxa"/>
        <w:tblLayout w:type="fixed"/>
        <w:tblCellMar>
          <w:top w:w="28" w:type="dxa"/>
          <w:left w:w="28" w:type="dxa"/>
          <w:bottom w:w="28" w:type="dxa"/>
          <w:right w:w="28" w:type="dxa"/>
        </w:tblCellMar>
      </w:tblPr>
      <w:tblGrid>
        <w:gridCol w:w="3451"/>
        <w:gridCol w:w="146"/>
        <w:gridCol w:w="417"/>
        <w:gridCol w:w="1128"/>
        <w:gridCol w:w="146"/>
        <w:gridCol w:w="146"/>
        <w:gridCol w:w="403"/>
        <w:gridCol w:w="1097"/>
        <w:gridCol w:w="146"/>
        <w:gridCol w:w="146"/>
        <w:gridCol w:w="340"/>
        <w:gridCol w:w="920"/>
        <w:gridCol w:w="146"/>
        <w:gridCol w:w="146"/>
        <w:gridCol w:w="303"/>
        <w:gridCol w:w="822"/>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set forth our selected unaudited quarterly key business metrics for the periods presented: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4"/>
        <w:gridCol w:w="146"/>
        <w:gridCol w:w="336"/>
        <w:gridCol w:w="972"/>
        <w:gridCol w:w="271"/>
        <w:gridCol w:w="146"/>
        <w:gridCol w:w="324"/>
        <w:gridCol w:w="939"/>
        <w:gridCol w:w="271"/>
        <w:gridCol w:w="146"/>
        <w:gridCol w:w="261"/>
        <w:gridCol w:w="762"/>
        <w:gridCol w:w="271"/>
        <w:gridCol w:w="146"/>
        <w:gridCol w:w="239"/>
        <w:gridCol w:w="690"/>
        <w:gridCol w:w="521"/>
      </w:tblGrid>
      <w:tr>
        <w:trPr/>
        <w:tc>
          <w:tcPr>
            <w:tcW w:w="3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Durable Medical Equipment (DME) Channel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5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Pharmacy Benefit Plan (PBP) Channel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New Patient Starts (NPS) Reimbursed Through Pharmacy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 30s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 30s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3"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High 30s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High 30s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629"/>
        <w:gridCol w:w="146"/>
        <w:gridCol w:w="422"/>
        <w:gridCol w:w="1039"/>
        <w:gridCol w:w="271"/>
        <w:gridCol w:w="146"/>
        <w:gridCol w:w="364"/>
        <w:gridCol w:w="922"/>
        <w:gridCol w:w="271"/>
        <w:gridCol w:w="146"/>
        <w:gridCol w:w="255"/>
        <w:gridCol w:w="745"/>
        <w:gridCol w:w="271"/>
        <w:gridCol w:w="146"/>
        <w:gridCol w:w="234"/>
        <w:gridCol w:w="676"/>
        <w:gridCol w:w="522"/>
      </w:tblGrid>
      <w:tr>
        <w:trPr/>
        <w:tc>
          <w:tcPr>
            <w:tcW w:w="3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5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Durable Medical Equipment (DME) Channel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Pharmacy Benefit Plan (PBP) Channel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of New Patient Starts (NPS) Reimbursed Through Pharmacy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High-single digit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Low-teens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Low 20s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High 20s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our financial results determined in accordance with GAAP, we believe the following adjusted EBITDA non-GAAP measure is useful in evaluating our operating performance. We use adjusted EBITDA to evaluate our ongoing operations and for internal planning and forecasting purposes. We believe that this non-GAAP financial measure, when taken together with the corresponding GAAP financial measures, provide meaningful supplemental information regarding our performance by excluding certain items that may not be indicative of our business, results of operations, or outlook. However, non-GAAP financial information is presented for supplemental informational purposes only, has limitations as an analytical tool and should not be considered in isolation or as a substitute for financial information presented in accordance with GAAP.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adjusted EBITDA to the most directly comparable financial measure stated in accordance with GAAP. Investors are encouraged to review the related GAAP financial measures and the reconciliation of this non-GAAP financial measure to its most directly comparable GAAP financial measure, and not to rely on any single financial measure to evaluate our business.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a reconciliation of adjusted EBITDA from the most comparable GAAP measure, net loss, for the eight quarters in the period ended June 30, 2026:</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609"/>
        <w:gridCol w:w="146"/>
        <w:gridCol w:w="317"/>
        <w:gridCol w:w="1108"/>
        <w:gridCol w:w="166"/>
        <w:gridCol w:w="146"/>
        <w:gridCol w:w="309"/>
        <w:gridCol w:w="1080"/>
        <w:gridCol w:w="166"/>
        <w:gridCol w:w="146"/>
        <w:gridCol w:w="266"/>
        <w:gridCol w:w="931"/>
        <w:gridCol w:w="166"/>
        <w:gridCol w:w="146"/>
        <w:gridCol w:w="242"/>
        <w:gridCol w:w="847"/>
        <w:gridCol w:w="414"/>
      </w:tblGrid>
      <w:tr>
        <w:trPr/>
        <w:tc>
          <w:tcPr>
            <w:tcW w:w="36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6"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(23,403</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settlement and other related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Quality system remediation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(17,656</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Amounts presented under “Quality system remediation” for the three months ended December 31, 2025, March 31, 2026, and June 30, 2026 reflect the same category of expenses previously labeled “Other non-recurring” in our Form 10-K for the year ended December 31, 2025. These expenses relate to our one-time remediation efforts in response to the Form 483 and the Warning Letter, including contractor support and the various updates to our quality system to meet FDA expectations.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619"/>
        <w:gridCol w:w="146"/>
        <w:gridCol w:w="353"/>
        <w:gridCol w:w="1059"/>
        <w:gridCol w:w="166"/>
        <w:gridCol w:w="146"/>
        <w:gridCol w:w="309"/>
        <w:gridCol w:w="1081"/>
        <w:gridCol w:w="166"/>
        <w:gridCol w:w="146"/>
        <w:gridCol w:w="266"/>
        <w:gridCol w:w="932"/>
        <w:gridCol w:w="166"/>
        <w:gridCol w:w="146"/>
        <w:gridCol w:w="242"/>
        <w:gridCol w:w="847"/>
        <w:gridCol w:w="415"/>
      </w:tblGrid>
      <w:tr>
        <w:trPr/>
        <w:tc>
          <w:tcPr>
            <w:tcW w:w="36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5"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(16,869</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4,799</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settlement and other related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Adjusted EBITDA is a key performance measure that we use to assess our operating performance. Because adjusted EBITDA facilitates internal comparisons of our historical operating performance on a more consistent basis, we use this measure for business planning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calculate adjusted EBITDA as net loss adjusted to exclude (i) depreciation expense, (ii) stock-based compensation expense, (iii) interest income, (iv) income tax expense (benefit), (v) litigation settlement and other related expenses, (vi) quality system remediation and (vii) change in fair value of warrant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 limitations of adjusted EBITDA include: (i) adjusted EBITDA does not properly reflect capital commitments to be paid in the future and (ii) although depreciation expense includes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evaluating adjusted EBITDA, you should be aware that in the future we will incur expenses similar to the adjustments in this presentation. Our presentation of adjusted EBITDA should not be construed as an inference that our future results will be unaffected by these expenses or any unusual or non-recurring items. When evaluating our performance, you should consider adjusted EBITDA alongside other financial performance measures, including our net loss and other GAAP results.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Selected Quarterly Trends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generally increased across the periods presented, primarily driven by continued growth in new patient starts and higher sales of both iLets and supplies. The quarterly trend reflects continued commercial adoption of the iLet and growth in the Company’s installed base, with seasonal decreases in net sales in the first quarters of 2026 and 2025 compared to the immediately preceding fourth quarters.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Cost of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sales generally increased across the periods presented, primarily driven by higher sales volume, including increased pharmacy channel iLet sales, and higher product warranty costs, partially offset by improved manufacturing efficiencies. Consistent with seasonal sales trends, cost of sales decreased in the first quarters of 2026 and 2025 compared to the immediately preceding fourth quarters.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Gross Margin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generally improved across the periods presented, driven by material cost savings, increased production volumes, and improved manufacturing cost absorption. Gross margin remained relatively consistent at approximately 59% from the fourth quarter of 2025 through the second quarter of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proportion of new patient starts reimbursed through the PBP remained in the high-30% range in the second quarter of 2026, consistent with the first quarter of 2026. The higher PBP mix compared to prior-year periods reflects expanded pharmacy benefit coverage enabled through contracts with PBMs and their affiliated health plans, resulting in a higher proportion of new patient starts being reimbursed through this channel.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generally increased over the periods presented, reflecting the timing of various clinical trial-related expenses, as well as increased engineering, materials, third-party consulting and payroll-related costs to support ongoing product development and enhancement efforts, including Mint, our patch pump, bihormonal system of the iLet and incremental software and product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Sales and marketing expenses increased across the periods presented, primarily driven by higher payroll-related costs associated with expansion of the sales force and customer care team, as well as increased marketing and education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generally increased over the periods presented, primarily due to higher payroll-related costs, public company expenses, including audit, legal and insurance services, and increased operational overhead to support business growth.</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Adjusted EBITDA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fluctuated across the periods presented, reflecting the impact of revenue seasonality, continued investment in operating expenses, and changes in gross margin. Adjusted EBITDA improved through the second half of 2025 as revenue growth, improving gross margins and operating leverage more than offset increases in operating expenses, but declined in the first half of 2026 compared to the fourth quarter of 2025 primarily due to seasonal factors and higher operating expenses to support continued commercial growth. Variability across prior periods was also impacted by discrete items, including a milestone payment to Xeris in the fourth quarter of 2024 and quality system remediation expenses in the fourth quarter of 2025 and first half of 2026.</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 xml:space="preserve">Liquidity and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To date, research and development, market development and commercial launch activities have accounted for a significant portion of our overall operating expenses. We expect to incur significant expenses and operating losses for the foreseeable future as we advance the commercialization of our iLet, including future development of Mint, our patch pump, and the bihormonal system of the iLet.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date, we have funded our operations primarily through equity financings, including our IPO completed in January 2025, as well as revenue generated from the sale of the iLet and related single-use products. We have also received payments under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collaboration agreements and government grants. As of </w:t>
      </w:r>
      <w:r>
        <w:rPr>
          <w:rFonts w:ascii="Times New Roman" w:hAnsi="Times New Roman"/>
          <w:color w:val="231F20"/>
          <w:sz w:val="20"/>
        </w:rPr>
        <w:t>June 30, 2026</w:t>
      </w:r>
      <w:r>
        <w:rPr>
          <w:rFonts w:ascii="Times New Roman" w:hAnsi="Times New Roman"/>
          <w:color w:val="000000"/>
          <w:sz w:val="20"/>
        </w:rPr>
        <w:t>, we had cash, cash equivalents and short-term and long-term investments of $225.2 million.</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flows for the periods presented:</w:t>
      </w:r>
    </w:p>
    <w:p>
      <w:pPr>
        <w:pStyle w:val="TextBody"/>
        <w:bidi w:val="0"/>
        <w:spacing w:before="40" w:after="283"/>
        <w:jc w:val="left"/>
        <w:rPr/>
      </w:pPr>
      <w:r>
        <w:rPr/>
        <w:t> </w:t>
      </w:r>
    </w:p>
    <w:tbl>
      <w:tblPr>
        <w:tblW w:w="7049" w:type="dxa"/>
        <w:jc w:val="left"/>
        <w:tblInd w:w="0" w:type="dxa"/>
        <w:tblLayout w:type="fixed"/>
        <w:tblCellMar>
          <w:top w:w="28" w:type="dxa"/>
          <w:left w:w="28" w:type="dxa"/>
          <w:bottom w:w="28" w:type="dxa"/>
          <w:right w:w="28" w:type="dxa"/>
        </w:tblCellMar>
      </w:tblPr>
      <w:tblGrid>
        <w:gridCol w:w="4201"/>
        <w:gridCol w:w="146"/>
        <w:gridCol w:w="211"/>
        <w:gridCol w:w="736"/>
        <w:gridCol w:w="166"/>
        <w:gridCol w:w="146"/>
        <w:gridCol w:w="211"/>
        <w:gridCol w:w="841"/>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increase (decrease) in cash, cash</w:t>
              <w:br/>
              <w:t>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Heading2"/>
        <w:bidi w:val="0"/>
        <w:spacing w:before="240" w:after="283"/>
        <w:jc w:val="left"/>
        <w:rPr>
          <w:rFonts w:ascii="Times New Roman" w:hAnsi="Times New Roman"/>
          <w:b w:val="false"/>
          <w:i/>
          <w:color w:val="000000"/>
          <w:sz w:val="20"/>
        </w:rPr>
      </w:pPr>
      <w:r>
        <w:rPr>
          <w:rFonts w:ascii="Times New Roman" w:hAnsi="Times New Roman"/>
          <w:b w:val="false"/>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$38.5 million for the six months ended June 30, 2026, compared to $33.6 million for the six months ended June 30, 2025. The increase in net cash used of $4.9 million was primarily driven by the impact of a $12.5 million non-cash adjustment from the change in fair value of warrant liabilities in the prior year period, which did not recur in the current period due to the net exercise of warrant liabilities upon our IPO in January 2025, partially offset by higher stock-based compensation expense, a favorable change in amortization of premiums and discounts on investments, higher depreciation expense, and a lower net loss in the current period. Working capital activity was relatively consistent year-over-year, as favorable changes in prepaid expenses and other current assets due to timing of payments on software licenses and prepaid inventory, were mostly offset by higher cash outflows from accrued expenses and other current liabilities due to timing of services incurred and accounts payable due to timing of vendor payments, mainly on inventory and progress billings on capital purchases.</w:t>
      </w:r>
    </w:p>
    <w:p>
      <w:pPr>
        <w:pStyle w:val="Heading2"/>
        <w:bidi w:val="0"/>
        <w:spacing w:before="360" w:after="283"/>
        <w:jc w:val="left"/>
        <w:rPr>
          <w:rFonts w:ascii="Times New Roman" w:hAnsi="Times New Roman"/>
          <w:sz w:val="20"/>
        </w:rPr>
      </w:pPr>
      <w:r>
        <w:rPr>
          <w:rFonts w:ascii="Times New Roman" w:hAnsi="Times New Roman"/>
          <w:b w:val="false"/>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was $48.8 million for the six months ended June 30, 2026, compared to net cash used of $172.9 million for the six months ended June 30, 2025. The increase of $221.7 million of cash provided by investing activities was primarily driven by reduced investment activity in the current period following the deployment of IPO proceeds in the prior year period. Specifically, purchases of short-term investments decreased by $190.8 million and proceeds from maturities and redemptions of short-term investments increased by $45.0 million. These increases in cash provided were partially offset by a $13.7 million increase in purchases of long-term investments as part of our cash management strategy and a $0.3 million increase in purchases of property and equipment to support further development of Mint, our patch pump.</w:t>
      </w:r>
    </w:p>
    <w:p>
      <w:pPr>
        <w:pStyle w:val="Heading2"/>
        <w:bidi w:val="0"/>
        <w:spacing w:before="360" w:after="283"/>
        <w:jc w:val="left"/>
        <w:rPr>
          <w:rFonts w:ascii="Times New Roman" w:hAnsi="Times New Roman"/>
          <w:b w:val="false"/>
          <w:i/>
          <w:color w:val="000000"/>
          <w:sz w:val="20"/>
        </w:rPr>
      </w:pPr>
      <w:r>
        <w:rPr>
          <w:rFonts w:ascii="Times New Roman" w:hAnsi="Times New Roman"/>
          <w:b w:val="false"/>
          <w:i/>
          <w:color w:val="000000"/>
          <w:sz w:val="20"/>
        </w:rPr>
        <w:t>Financing Activities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Net cash provided by financing activities was $2.4 million for the </w:t>
      </w:r>
      <w:r>
        <w:rPr>
          <w:rFonts w:ascii="Times New Roman" w:hAnsi="Times New Roman"/>
          <w:color w:val="231F20"/>
          <w:sz w:val="20"/>
        </w:rPr>
        <w:t>six months ended June 30, 2026</w:t>
      </w:r>
      <w:r>
        <w:rPr>
          <w:rFonts w:ascii="Times New Roman" w:hAnsi="Times New Roman"/>
          <w:color w:val="000000"/>
          <w:sz w:val="20"/>
        </w:rPr>
        <w:t>, compared to $211.2 million for the six months ended June 30, 2025. The decrease of $208.8 million was primarily due to IPO-related financing activities in the prior year period, which included $195.4 million in net proceeds from the Company’s IPO and $15.6 million from the concurrent private placement. This decrease was partially offset by a $2.3 million increase in proceeds from stock option exercises and employee stock purchase plan issuances in the current period.</w:t>
      </w:r>
    </w:p>
    <w:p>
      <w:pPr>
        <w:pStyle w:val="Heading1"/>
        <w:bidi w:val="0"/>
        <w:spacing w:before="360" w:after="283"/>
        <w:jc w:val="left"/>
        <w:rPr>
          <w:rFonts w:ascii="Times New Roman" w:hAnsi="Times New Roman"/>
          <w:sz w:val="20"/>
        </w:rPr>
      </w:pPr>
      <w:r>
        <w:rPr>
          <w:rFonts w:ascii="Times New Roman" w:hAnsi="Times New Roman"/>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gradually in connection with our ongoing activities. The timing and amount of our funding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FDA clearance for the iLet as an automated insulin dosing system cleared for the treatment of T1D in adults and children six years of age and older, including updates and revisions to our quality system;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obtaining and maintaining FDA marketing authorization or clearance for other future indications or other product candidates, including for the iLet for T1D using both insulin and glucagon (a bihormonal system), the iLet for T2D and Mint, our patch pump;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revenue generated by sales of the iLet and any future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scaling up and expanding our manufacturing capacity;</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building and expanding our sales and marketing efforts in the United States and, in the future, internationally;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conducting research and development efforts for future improvements to the iLet;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conducting research and development efforts for future product offerings, such as Mint, our patch pump, and bihormonal system of the iLet;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complying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capital expenditures;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hiring additional personnel as our business grows;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future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and macroeconomic events, including tariffs or other trade measures, future bank failures, increased geopolitical tensions and conflict, global pandemics, global economic conditions including changes in monetary and fiscal policy, U.S. political developments and other sources of instability that may impact our ability to access capital on acceptable terms,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our current operating plans, we believe that our existing cash, cash equivalents and short-term and long-term investments, as well as cash generated from sales of our products, will be sufficient to fund our projected operating expenses and capital expenditure requirements through the first half of 2028. We have based this estimate on assumptions that may prove to be wrong, and we could utilize our available capital resources sooner than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finance our operations through product revenue, as well as potentially through equity or debt financing, collaborations or strategic alliances.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strategic alliances with third parties, we may have to relinquish valuable rights to our technologies, future revenue streams or investigational devices,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products that we would otherwise prefer to develop and market ourselves.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Contractual Obligations and Other Commitments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various non-cancelable operating leases for certain office, laboratory and manufacturing space. The leases have varying initial lease terms of approximately one to six years. For additional information, see Notes 2 and 14 of our unaudited condensed financial statements included elsewhere in this Quarterly Report.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Research and Development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2024, in connection with research and development activities, we entered into an exclusive worldwide Collaboration and License Agreement with Xeris which contains a number of contractual obligations. In consideration for the licenses and other rights granted to us under the Collaboration and License Agreement, we paid Xeris a one-time, non-refundable payment of $0.5 million and a one-time, non-refundable milestone payment of $3.0 million for the achievement of certain developmental milestones. In connection with entering into Phase 2 of the collaboration, we ordered and paid for clinical material totaling $0.9 million. In May 2026, we entered into a letter agreement under the Clinical Supply Agreement with Xeris for additional Phase 2 clinical material, including a one-time non-refundable payment of $0.5 million and reimbursement of certain internal and travel costs. In connection with entering into Phase 3 of the collaboration, we expect to incur development and manufacturing costs, including ordering clinical materials and technical transfer, development, and testing of the product, totaling $5.1 million. As of June 30, 2026, we have completed payments totaling $4.0 million. The payments were initially recognized in prepaid expense and other current assets in the balance sheets and a portion of the payment was expensed to research and development related to the services completed. In addition,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required to pay tiered royalties of low double-digit percentages based on net sales of glucagon products, subject to certain reductions. We may continue to incur costs as we progress into Phase 2 and Phase 3 clinical trials. For additional information, see “Business—License and Collaboration Agreements” in our Annual Report on Form 10-K for the year ended December 31, 2025. We expect to continue to incur costs as development activities progress.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Royalty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development, production and sale of the iLet, we have entered into certain agreements that obligate us to pay royalties based on specific production or net sales metrics. Among other obligations, certain license agreements with BU require us to pay quarterly royalties of a mid-single-digit percentage based on net sales (and royalties of a low double-digit percentage of net sales by sublicensees), of any products licensed under the agreements, which royalties are creditable against the minimum royalty amount. For additional information on these license agreements with BU, see “Business—License and Collaboration Agreements” in our Annual Report on Form 10-K for the year ended December 31, 2025. As of June 30, 2026, we have not identified any material changes to these agreements or the related royalty obligations described above.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Off-Balance Sheet Arrangements</w:t>
      </w:r>
    </w:p>
    <w:p>
      <w:pPr>
        <w:pStyle w:val="Heading1"/>
        <w:bidi w:val="0"/>
        <w:spacing w:before="120" w:after="283"/>
        <w:jc w:val="left"/>
        <w:rPr>
          <w:rFonts w:ascii="Times New Roman" w:hAnsi="Times New Roman"/>
          <w:b w:val="false"/>
          <w:color w:val="000000"/>
          <w:sz w:val="20"/>
        </w:rPr>
      </w:pPr>
      <w:r>
        <w:rPr>
          <w:rFonts w:ascii="Times New Roman" w:hAnsi="Times New Roman"/>
          <w:b w:val="false"/>
          <w:color w:val="000000"/>
          <w:sz w:val="20"/>
        </w:rPr>
        <w:t>We did not have during the periods presented, and we do not currently have, any relationships with unconsolidated organizations or financial partnerships, such as structured finance or special purpose entities, that would have been established to facilitate off-balance sheet arrangements or other contractually narrow or limited purposes.</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unaudited condensed financial statements, which are prepared in accordance with GAAP. The preparation of our unaudited condensed financial statements and related disclosures requires us to make estimates and judgments that affect the reported amounts of assets, liabilities, revenue, costs and expenses, and the disclosure of contingent assets and liabilities in our unaudited condensed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our significant accounting policies are described in more detail in Part I. Item 1. Note 2 to our unaudited condensed financial statements included elsewhere in this Quarterly Report, we believe that the following accounting policies are the most critical to the judgments and estimates used in the preparation of our unaudited condensed financial statements.</w:t>
      </w:r>
    </w:p>
    <w:p>
      <w:pPr>
        <w:pStyle w:val="Heading2"/>
        <w:bidi w:val="0"/>
        <w:spacing w:before="360" w:after="283"/>
        <w:jc w:val="left"/>
        <w:rPr>
          <w:rFonts w:ascii="Times New Roman" w:hAnsi="Times New Roman"/>
          <w:i/>
          <w:color w:val="000000"/>
          <w:sz w:val="20"/>
        </w:rPr>
      </w:pPr>
      <w:r>
        <w:rPr>
          <w:rFonts w:ascii="Times New Roman" w:hAnsi="Times New Roman"/>
          <w:i/>
          <w:color w:val="000000"/>
          <w:sz w:val="20"/>
        </w:rPr>
        <w:t>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from contracts with customers is generated from the iLet and single-use products that are used together with the iLet, including cartridges for storing and delivering insulin, and infusion sets that connect the insulin pump to a user’s body. Our primary customers are distributors and pharmacy partners who sell our products to insulin-requiring PWD. We recognize revenue when we transfer control of the promised goods or services to customers in an amount that reflects the consideration we expect to be entitled to in exchange for those goods or services, net of estimated returns and estimated variable consideration. Variable consideration related to pharmacy rebates and chargebacks is accounted for as a reduction in revenue and is estimated based on contractual arrangements, actual sales of products qualifying for rebates or chargebacks, and historical payments made related to pharmacy rebates and chargebacks. Estimates associated with pharmacy rebates and chargebacks on products sold are the most significant component of our variable consideration estimates and most at risk for material adjustment because of the time delay between the recording of the provision and its ultimate settlement, an interval that generally ranges from 30 to 90 days. Due to this time lag, in any given period, our adjustments to reflect actual amounts can incorporate changes of estimates related to prior periods. The amount of variable consideration that is included in the transaction price is estimated and is included in revenue only to the extent that it is probable that a significant reversal in the amount of the cumulative revenue recognized will not occur in a future period. If the actual amounts of consideration that we receive differ from estimates, we adjust these estimates, which affects reported revenue, in the period that such variances become known or at the end of each reporting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identified the ability for a customer to access the mobile application and our promise to provide firmware upgrades to the iLet through the mobile application as distinct performance obligations, as access and support is provided throughout the standard four-year warranty period of the device. Accordingly, revenue related to the mobile application and firmware upgrades are deferred and recognized ratably over a four-year period. Given that access to the mobile application and unspecified software updates follow the same pattern of transfer to the customer and are provided over the same four-year period, we recognize revenue for these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 obligations as if they were a single performance obligation. As there is no observable standalone selling price for access to the mobile application or promise to provide firmware upgrades, we estimate standalone selling price by applying the expected cost plus a margin approach.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measure stock options and employee stock purchase plan purchase rights based on their fair value on the date of grant using the Black-Scholes option pricing model. We measure restricted stock units based on the fair value of our common stock on the date of grant. Stock-based compensation expense for those awards is recognized over the requisite service period, which is generally the vesting period of the respective award for employees and directors and the period during which services are performed for non-employees. Stock-based compensation expense for non-employee awards is recognized in the same manner as if we had paid cash in exchange for the goods or services, which is generally the vesting period of the award. We have issued awards with only service-based vesting conditions and record the expense for these awards using the straight-line method. We have not issued any stock-based awards with performance-based or market-based vesting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determined the assumptions for the Black-Scholes option pricing model as discussed below. Each of these inputs is subjective and generally requires significant judgment to determine.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Fair Value of Our Common Stock</w:t>
      </w:r>
      <w:r>
        <w:rPr>
          <w:color w:val="000000"/>
        </w:rPr>
        <w:t>—</w:t>
      </w:r>
      <w:r>
        <w:rPr>
          <w:rFonts w:ascii="Times New Roman" w:hAnsi="Times New Roman"/>
          <w:color w:val="000000"/>
          <w:sz w:val="20"/>
        </w:rPr>
        <w:t>The fair value of stock-based awards is determined based on the market price of our common stock on the date of grant.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Volatility—E</w:t>
      </w:r>
      <w:r>
        <w:rPr>
          <w:rFonts w:ascii="Times New Roman" w:hAnsi="Times New Roman"/>
          <w:color w:val="000000"/>
          <w:sz w:val="20"/>
        </w:rPr>
        <w:t>xpected volatility is derived from the average historical stock volatilities of several public companies within our industry that we consider to be comparable to our business over a period equivalent to the expected term of the stock-based awards. We will continue to apply this process until a sufficient amount of historical information regarding the volatility of our own stock price becomes available.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Term—</w:t>
      </w:r>
      <w:r>
        <w:rPr>
          <w:rFonts w:ascii="Times New Roman" w:hAnsi="Times New Roman"/>
          <w:color w:val="000000"/>
          <w:sz w:val="20"/>
        </w:rPr>
        <w:t>The expected term represents the period that the stock-based awards are expected to be outstanding. The expected term for our stock options was calculated based on the weighted-average vesting term of the awards and the contract period, or the simplified method.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Risk-Free Interest Rate—</w:t>
      </w:r>
      <w:r>
        <w:rPr>
          <w:rFonts w:ascii="Times New Roman" w:hAnsi="Times New Roman"/>
          <w:color w:val="000000"/>
          <w:sz w:val="20"/>
        </w:rPr>
        <w:t>The risk-free interest rate is based on the U.S. Treasury yield in effect at the time of grant for zero-coupon U.S. treasury notes with maturities approximately equal to expected term of the stock options.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Expected Dividend Yield—</w:t>
      </w:r>
      <w:r>
        <w:rPr>
          <w:rFonts w:ascii="Times New Roman" w:hAnsi="Times New Roman"/>
          <w:color w:val="000000"/>
          <w:sz w:val="20"/>
        </w:rPr>
        <w:t>The expected dividend is zero as we have not paid and do not anticipate paying any dividends in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Forfeitures are accounted for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 Part I. Item 1. Note 11 of our unaudited condensed financial statements included elsewhere in this Quarterly Report for more information concerning certain of the specific assumptions we used in applying the Black-Scholes option pricing model to determine the estimated fair value of our stock options. Certain of these assumptions involve inherent uncertainties and generally require significant analysis and judgment to develop. Changes in these assumptions can materially impact the fair value and ultimately how much stock-based compensation expense is recognized.</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standards that may potentially impact our financial position, results of operations, and cash flows is included in Part I. Item 1. Note 2 to our unaudited condensed financial statements included elsewhere in this Quarterly Report.</w:t>
      </w:r>
    </w:p>
    <w:p>
      <w:pPr>
        <w:pStyle w:val="Heading1"/>
        <w:bidi w:val="0"/>
        <w:spacing w:before="360" w:after="283"/>
        <w:jc w:val="left"/>
        <w:rPr>
          <w:rFonts w:ascii="Times New Roman" w:hAnsi="Times New Roman"/>
          <w:color w:val="000000"/>
          <w:sz w:val="20"/>
        </w:rPr>
      </w:pPr>
      <w:r>
        <w:rPr>
          <w:rFonts w:ascii="Times New Roman" w:hAnsi="Times New Roman"/>
          <w:color w:val="000000"/>
          <w:sz w:val="20"/>
        </w:rPr>
        <w:t>Emerging Growth Company and 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Jumpstart Our Business Startups (JOBS) Act. For as long as we remain an “emerging growth company”, we may take advantage of reduced reporting requirements that are otherwise applicable to public companies. These provisions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any golden parachute payments not previously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JOBS Act provides that an emerging growth company can take advantage of an extended transition period for complying with new or revised accounting standards. This provision allows an emerging growth company to delay the adoption of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may use these provisions until the last day of our fiscal year following the fifth anniversary of the completion of our initial public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 longer a “smaller reporting company” as defined by Rule 12b-2 of the Exchange Act because our annual revenue exceeded $100.0 million during the most recently completed fiscal year. However, we may continue to take advantage of certain of the scaled disclosures available to smaller reporting companies through the end of the year ended December 31, 2026 and until our Form 10-Q for the quarter ended March 31, 2027. If we are a smaller reporting company or are otherwise eligible to take advantage of the scaled disclosure available to smaller reporting companies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unaudited condensed financial statements in our Quarterly Report on Form 10-Q and, similar to emerging growth companies, smaller reporting companies have reduced disclosure obligations regarding executive compensation.</w:t>
      </w:r>
    </w:p>
    <w:p>
      <w:pPr>
        <w:pStyle w:val="TextBody"/>
        <w:bidi w:val="0"/>
        <w:spacing w:before="360" w:after="283"/>
        <w:jc w:val="left"/>
        <w:rPr>
          <w:rFonts w:ascii="Times New Roman" w:hAnsi="Times New Roman"/>
          <w:b/>
          <w:color w:val="000000"/>
          <w:sz w:val="20"/>
        </w:rPr>
      </w:pPr>
      <w:bookmarkStart w:id="10" w:name="market_risk"/>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eligible to take advantage of the scaled disclosures available to “smaller reporting company” as defined by Item 10(f)(1) of Regulation S-K. Accordingly, the Company is not required to provide the information required by this item.</w:t>
      </w:r>
    </w:p>
    <w:p>
      <w:pPr>
        <w:pStyle w:val="TextBody"/>
        <w:bidi w:val="0"/>
        <w:spacing w:before="360" w:after="283"/>
        <w:jc w:val="left"/>
        <w:rPr>
          <w:rFonts w:ascii="Times New Roman" w:hAnsi="Times New Roman"/>
          <w:b/>
          <w:color w:val="000000"/>
          <w:sz w:val="20"/>
        </w:rPr>
      </w:pPr>
      <w:bookmarkStart w:id="11" w:name="controls_and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management, with the participation of our principal executive officer and our principal financial officer, have evaluated our disclosure controls and procedures as defined in Rules 13a-15(e) and 15d-15(e) under the Exchange Act as of the end of the period covered by this Quarterly Report. Based on such evaluation, our principal executive officer and our principal financial officer have concluded that as of June 30, 2026, our disclosure controls and procedures were effective at the reasonable assurance level.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June 30, 2026, that have materially affected, or are reasonably likely to materially affect, our internal control over financial reporting.</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2" w:name="part2_other_information"/>
      <w:bookmarkEnd w:id="12"/>
      <w:r>
        <w:rPr>
          <w:rFonts w:ascii="Times New Roman" w:hAnsi="Times New Roman"/>
          <w:b/>
          <w:color w:val="000000"/>
          <w:sz w:val="20"/>
        </w:rPr>
        <w:t>PART II. OTHER INFORMATION</w:t>
      </w:r>
    </w:p>
    <w:p>
      <w:pPr>
        <w:pStyle w:val="TextBody"/>
        <w:bidi w:val="0"/>
        <w:spacing w:before="120" w:after="283"/>
        <w:jc w:val="left"/>
        <w:rPr>
          <w:rFonts w:ascii="Times New Roman" w:hAnsi="Times New Roman"/>
          <w:b/>
          <w:color w:val="000000"/>
          <w:sz w:val="20"/>
        </w:rPr>
      </w:pPr>
      <w:bookmarkStart w:id="13" w:name="p2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in the ordinary course of our business. There are currently no claims or actions pending against us that we believe could have, individually or in the aggregate, a material adverse effect on our results of operations, financial condition or cash flows. Regardless of outcome, litigation can have an adverse impact on us because of defense and settlement costs, diversion of management resources and other factors.</w:t>
      </w:r>
    </w:p>
    <w:p>
      <w:pPr>
        <w:pStyle w:val="TextBody"/>
        <w:bidi w:val="0"/>
        <w:spacing w:before="360" w:after="283"/>
        <w:jc w:val="left"/>
        <w:rPr>
          <w:rFonts w:ascii="Times New Roman" w:hAnsi="Times New Roman"/>
          <w:b/>
          <w:color w:val="000000"/>
          <w:sz w:val="20"/>
        </w:rPr>
      </w:pPr>
      <w:bookmarkStart w:id="14" w:name="p2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Refer to the “Item 1A. Risk Factors” section in our Annual Report on Form 10-K for the year ended December 31, 2025 for a discussion of risks to which our business, financial condition, results of operations and cash flows are subject. Other than as described below, there have been no material changes to the risk factors disclosed in the aforementioned Annual Report.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Risks Related to the Development, Regulatory Approval and Commercialization of our iLet Bionic Pancreas and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the success of our iLet for the treatment of T1D, which is cleared by the FDA for commercial sale in the United States for the treatment of T1D, and we do not have any other commercial products. If we are unable to obtain and maintain regulatory clearance or approval for planned modifications to the iLet or for new indications, or for any current or future development-stage products, or if we are unsuccessful in our efforts to continue to commercialize our cleared version of the iLet,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only have one commercialized device, the iLet, which is an automated insulin dosing system cleared for the treatment of T1D in adults and children six years of age and older. Our business primarily depends on the successful commercialization of the iLet. We currently have no other products cleared for sale and may never be able to develop other marketable products. Our iLet will require additional clinical development, testing and marketing authorization or regulatory clearance before we are permitted to commercialize it in a bihormonal system for the treatment of T1D or for any future indications we may pursue. Further, as we develop a bihormonal system of the iLet, which is designed to use both insulin and glucagon for the treatment of T1D, we will separately need to develop and obtain approval for our glucagon product candidate as a drug via an NDA submission in order to successfully commercialize our iLet in a bihormonal system. We expect that the bihormonal system will require completion of clinical trials and submission of a 510(k) for both the infusion pump and algorithm. In addition, we expect that the single hormone and bihormonal algorithms will require separate studies to be performed in T1D and T2D populations in order to seek clearance in these patient populations. In addition, we are developing Mint, an insulin pump, also commonly referred to as a “patch pump,” for which we have submitted a 510(k) application to the FDA. We currently expect to fully commercialize Mint by the end of the second quarter of 2027, subject to regulatory clearance by the FDA. However, there can be no assurance that the FDA will clear the Mint 510(k) application on the anticipated timeline, or at all, or that we will be able to scale our manufacturing processes sufficiently to meet anticipated demand at launch. The future regulatory and commercial success of our iLet, Mint and any other product candidate is subject to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preclinical studies with favorable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and completion of, planned and future clinical trials with favorable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clinical trials and regulatory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patient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data from our clinical program that supports an acceptable risk-benefit profile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required by the FDA to conduct additional clinical trials or to modify the design of current or planned trials to support any future application seeking marketing authorization or clearance of the iLet in a bihormonal system for the treatment of T1D or for other indications we may pursue, or seeking initial marketing authorization or clearance for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authorizations or clearances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patent and trade secret protection and regulatory exclusivity for our iLet;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and ensuring such third-party manufacturers supply sufficient quantities of components of our products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scaling up our manufacturing capabilities, for both commercial and clinical supplies of our products and product candidates;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entry into collaborations to further the development of our iLet’s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sales, marketing and distribution capabilities as we continue our commercialization efforts of the iLet,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launching commercial sales of the iLet, patch pump and any other product candidate, if authorized for marketing or cleared;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our products by PWD,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following marketing authorization or clearance;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regulatory compliance;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treatment options and the availability, perceived advantages, relative cost, relative safety and relative effectiveness of alternative and competing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technologies and other adverse market developments, and our need to enhance existing products and/or develop new products to maintain market share in response to such competing technologies or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healthcare coverage and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continuing to build and maintain an organization of people who can successfully develop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intellectual property rights and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these risks are beyond our control, including the risks related to clinical development, the regulatory submission process, potential threats to our intellectual property rights and the manufacturing, marketing and sales efforts of any future collaborator. If we are not successful in commercializing our iLet or obtaining marketing authorization or clearance for the iLet in its bihormonal system for the treatment of T1D or in other indications, such as T2D, the investigational glucagon product, Mint, or any other product candidate, or if we experience delays as a result of any of these risks or otherwise, our business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even though we have received clearance for our iLet for insulin-only delivery for the treatment of T1D, any other configuration for the treatment of T1D such as a bihormonal system using both insulin and glucagon or other indications we may pursue for which we receive marketing authorization or clearance may be subject to limitations on the patient populations for which we may market the product. Even if we are able to obtain the requisite financing to continue to fund our development programs, we cannot assure you that we will successfully develop, obtain marketing authorization or clearance for, and commercialize our iLet in its bihormonal system for the treatment of T1D or for any future indication we may pursue, Mint, the investigational glucagon product, or any other development-stage products. If we are unable to continue commercializing the iLet for T1D, or if we are unable to develop, or obtain marketing authorization or clearance for, or, if authorized for marketing or cleared, successfully commercialize the iLet for the treatment of any future indications, we may not be able to generate sufficient revenue to continue our business. </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growth depends on the continued success, enhancement, and expanded use of the iLet as well as the development and commercial release of the patch pump, Mint. If we fail to advance the iLet platform, the Mint platform or expand their indications,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important to our business and our long-term growth that we continue to develop and enhance the iLet, including in a bihormonal system, as well as expand our product portfolio, including our patch pump in development, Mint. For example, we have completed over 20 pre-pivotal trials testing the algorithms in order to enhance its learning capabilities. We intend to continue to invest in research and development activities focused on improvements and enhancements to the iLet. Additionally, we intend to pursue marketing authorization or clearance for other indications in the United States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enhancements to the iLet and developing Mint has, and will continue to be expensive and time-consuming and has, and may continue to, divert management’s attention away from the commercialization of the iLet and Mint and divert financial resources from other operations. The success of any new products or new product enhancements, including marketing authorization or clearance for additional indications, will depend on several factors, including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properly identify and anticipate physician and patient needs, and develop enhancements to meet those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demonstrate, if required, the safety and effectiveness of new enhancements to our products, including additional indications, with data from preclinical studies and clinical trials;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in a timely manner the necessary marketing authorization or clearance for new enhancements to the iLet, product modifications or expanded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avoid infringing upon the intellectual property rights of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comply with all applicable laws and regulations, including those governing the marketing of new devices or modified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 effective and dedicated sales and marketing team to provide adequate education and training to potential users of the iLet;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adequate coverage and reimbursement for procedures performed with the iLet.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commercialized the iLet as an automated insulin dosing system cleared for the treatment of T1D in adults and children six years of age and older, we may not be successful in expanding the configurations or indications and developing and commercializing new products or product enhancements. This could negatively impact our ability to achieve and maintain market share and increase our revenue, which could have a material adverse effect on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and our suppliers are subject to ongoing regulatory obligations and continued regulatory review, which may result in significant additional expense and subject us to penalties if we fail to comply with applicable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Once we obtain marketing authorization or clearance for FDA-regulated products, such as our iLet and any future products, we and such products will be subject to continued and pervasive regulatory review, oversight, requirements, and periodic inspections by the FDA and other domestic and foreign regulatory bodies governing, among other things, the manufacture, marketing, advertising, reporting, sale, promotion, import, export, registration, and listing of our products. For example, medical device manufacturers must submit periodic reports to the FDA as a condition of obtaining marketing authorization or clearance. These reports include information about failures and certain adverse events associated with the device after its marketing authorization or clearance. Failure to submit such reports, or failure to submit the reports in a timely manner, could result in enforcement action by the FDA. Following its review of the periodic reports, the FDA might ask for additional information or initiate further investigation. In particular, unless exempt, we and our suppliers are required to comply with the FDA’s QMSR for medical device products and cGMPs for any approved drug products, such as glucagon if it is ultimately approved,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QMSR and cGMPs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 and/or other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untitled letters, warning letters, fines, injunctions, consent decrees and civil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unanticipated expenditures to address or defend such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customer notification, or orders for repair, replacement or refunds;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recall or seizure of our current or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administrative detention by the FDA of medical devices believed to be adulterated or misbranded;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restrictions, suspension or shutdown of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refusing our requests for marketing authorization or clearance of new products, or new intended uses or modifications to the iLet;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suspending or withdrawing marketing authorizations or clearances that have already been granted;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criminal prosecution.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manufacture our products on a timely basis and in the required quantities, if at all. Later discovery of previously unknown problems with our products, including manufacturing problems, or failure to comply with regulatory requirements such as the QMSR, may result in changes to labeling, restrictions on such products or manufacturing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 may change its marketing authorization or clearance policies, adopt additional regulations or revise existing regulations, or take other actions, which may prevent or delay marketing authorization or clearance of any product candidate under development or impact our ability to modify any products authorized for market on a timely basis. Such policy or regulatory changes could impose additional requirements upon us that could delay our ability to obtain marketing authorizations or clearances, increase the costs of compliance or restrict our ability to maintain any marketing authorizations or clearances we have obtained. For example, in February 2024, the FDA issued a final rule to amend and replace the former Quality System Regulation, which set forth the FDA’s current good manufacturing practice requirements for medical devices, to align more closely with the International Organization for Standardization standards. Specifically, this final rule, which went into effect on February 2, 2026, established the QMSR, which among other things, incorporates by reference the quality management system requirements of ISO 13485:2016. Although the FDA has stated that the standards contained in ISO 13485:2016 are substantially similar to those set forth in the former Quality System Regulation, it is unclear the extent to which this final rule, once effective, could impose additional or different regulatory requirements on us that could increase the costs of compliance or otherwise negatively affect our business. If we are unable to comply with the QMSR or with any other changes in the laws or regulations enforced by the FDA or comparable regulatory authorities, we may be subject to enforcement action, which could have an adverse effect on our business, financial condition and results of operations. Additionally, the U.S.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decisions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which would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after we have obtained marketing authorization or clearance for a product, the FDA has the power to require us to conduct post marketing studies, such as under a 522 Order, which is an order by the FDA to conduct a post-market study of an authorized or cleared medical device. We are subject to a post-market surveillance order issued by the FDA for our iLet. If the FDA determines that our iLet does not perform as anticipated, or if the FDA identifies new concerns related to the safety and effectiveness of the device, we may need to make changes to or recall or withdraw the iLet from the field, which could harm our business. These studies can be very expensive and time-consuming to conduct. Any failure to comply with ongoing regulatory requirements may significantly and adversely affect our ability to commercialize and generate revenue from our products. If regulatory sanctions are applied or if marketing authorization or clearance is withdrawn, it would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the FDA conducted an inspection of our Irvine, California facility. Following the inspection, the FDA issued a Form 483. We initiated remediation activities and followed our communicated plan to address the FDA’s observations. We submitted our response and provided multiple updates to the FDA regarding the status of our remediation efforts. On January 29, 2026, we received a Warning Letter from the FDA following such inspection. In the Warning Letter, the FDA cited deficiencies in the response letters we sent to the FDA following the FDA’s issuance of the Form 483. The Warning Letter highlights non-conformities observed by the FDA in relation to our Quality Management System, Medical Device Reporting, and Correction and Removals, which were previously communicated by the FDA in the Form 483. The Warning Letter does not restrict our ability to produce, market, manufacture or distribute our products, nor does it restrict our ability to seek FDA 510(k) clearance of new products. We take the observations described in the Warning Letter seriously and have been regularly updating the FDA on the progress we have made in improving our quality management system in the areas outlined by the FDA in the Warning Letter. We intend to continue providing these regular updates to the FDA until the Warning Letter is resolved. We cannot provide assurances that the FDA will be satisfied with our response or an expected timeline for resolutions of the matters included in the Warning Letter. Until the deficiencies cited in the Warning Letter are resolved to the FDA’s satisfaction, additional legal or regulatory action may be taken without further notice. We do not expect the Warning Letter to materially impact our previously disclosed guidance that we expect to fully commercialize Mint by the end of the second quarter of 2027, subject to regulatory clearance by the FDA.</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The FDA can also publish Safety Communications or Letters to Health Care Providers when the agency becomes aware of new issues involving a specific product or, more broadly, a product family. These communications are posted on the FDA’s website and describe the FDA’s analysis of a current issue and provide specific regulatory approaches and clinical recommendations for patient management. If such communications occur it may harm our reputation and prevent us from generating revenue.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p2_use_of_proceeds"/>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sz w:val="20"/>
        </w:rPr>
      </w:pPr>
      <w:bookmarkStart w:id="16" w:name="p2_defaults_upon_senior_securities"/>
      <w:bookmarkEnd w:id="16"/>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sz w:val="20"/>
        </w:rPr>
      </w:pPr>
      <w:bookmarkStart w:id="17" w:name="p2_mine_safety_disclosures"/>
      <w:bookmarkEnd w:id="17"/>
      <w:r>
        <w:rPr>
          <w:rFonts w:ascii="Times New Roman" w:hAnsi="Times New Roman"/>
          <w:b/>
          <w:color w:val="000000"/>
          <w:sz w:val="20"/>
        </w:rPr>
        <w:t>Item 4.</w:t>
      </w:r>
      <w:r>
        <w:rPr>
          <w:rFonts w:ascii="Times New Roman" w:hAnsi="Times New Roman"/>
          <w:color w:val="000000"/>
          <w:sz w:val="20"/>
        </w:rPr>
        <w:t xml:space="preserve"> </w:t>
      </w:r>
      <w:r>
        <w:rPr>
          <w:rFonts w:ascii="Times New Roman" w:hAnsi="Times New Roman"/>
          <w:b/>
          <w:color w:val="000000"/>
          <w:sz w:val="20"/>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8" w:name="p2_othe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June 30, 2026, the following officers (as defined in Rule 16a-1(f) under the Exchange Act) adopted or terminated the contracts, instructions or written plans for the purchase or sale of the Company’s securities set forth in the table below.</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29"/>
        <w:gridCol w:w="936"/>
        <w:gridCol w:w="1210"/>
        <w:gridCol w:w="1209"/>
        <w:gridCol w:w="1977"/>
        <w:gridCol w:w="1544"/>
      </w:tblGrid>
      <w:tr>
        <w:trPr/>
        <w:tc>
          <w:tcPr>
            <w:tcW w:w="33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332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and Position</w:t>
            </w:r>
          </w:p>
        </w:tc>
        <w:tc>
          <w:tcPr>
            <w:tcW w:w="93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21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20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97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to be Sold</w:t>
            </w:r>
          </w:p>
        </w:tc>
        <w:tc>
          <w:tcPr>
            <w:tcW w:w="154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332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Hopman, Chief Commercial Officer</w:t>
            </w:r>
          </w:p>
        </w:tc>
        <w:tc>
          <w:tcPr>
            <w:tcW w:w="93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Adoption</w:t>
            </w:r>
          </w:p>
        </w:tc>
        <w:tc>
          <w:tcPr>
            <w:tcW w:w="121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10, 2026</w:t>
            </w:r>
          </w:p>
        </w:tc>
        <w:tc>
          <w:tcPr>
            <w:tcW w:w="120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197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97,052</w:t>
            </w:r>
          </w:p>
        </w:tc>
        <w:tc>
          <w:tcPr>
            <w:tcW w:w="154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31, 2027</w:t>
            </w:r>
          </w:p>
        </w:tc>
      </w:tr>
      <w:tr>
        <w:trPr/>
        <w:tc>
          <w:tcPr>
            <w:tcW w:w="10205" w:type="dxa"/>
            <w:gridSpan w:val="6"/>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Contract, instruction or written plan intended to satisfy the affirmative defense conditions of Rule 10b5-1(c) under the Exchange Act.</w:t>
            </w:r>
          </w:p>
        </w:tc>
      </w:tr>
    </w:tbl>
    <w:p>
      <w:pPr>
        <w:pStyle w:val="TextBody"/>
        <w:bidi w:val="0"/>
        <w:jc w:val="left"/>
        <w:rPr>
          <w:rFonts w:ascii="Times New Roman" w:hAnsi="Times New Roman"/>
          <w:color w:val="000000"/>
          <w:sz w:val="20"/>
        </w:rPr>
      </w:pPr>
      <w:r>
        <w:rPr>
          <w:rFonts w:ascii="Times New Roman" w:hAnsi="Times New Roman"/>
          <w:color w:val="000000"/>
          <w:sz w:val="20"/>
        </w:rPr>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
        <w:gridCol w:w="5945"/>
        <w:gridCol w:w="511"/>
        <w:gridCol w:w="762"/>
        <w:gridCol w:w="631"/>
        <w:gridCol w:w="663"/>
        <w:gridCol w:w="972"/>
      </w:tblGrid>
      <w:tr>
        <w:trPr/>
        <w:tc>
          <w:tcPr>
            <w:tcW w:w="721" w:type="dxa"/>
            <w:tcBorders/>
            <w:vAlign w:val="center"/>
          </w:tcPr>
          <w:p>
            <w:pPr>
              <w:pStyle w:val="TableContents"/>
              <w:bidi w:val="0"/>
              <w:spacing w:before="0" w:after="283"/>
              <w:jc w:val="left"/>
              <w:rPr>
                <w:sz w:val="4"/>
                <w:szCs w:val="4"/>
              </w:rPr>
            </w:pPr>
            <w:r>
              <w:rPr>
                <w:sz w:val="4"/>
                <w:szCs w:val="4"/>
              </w:rPr>
            </w:r>
          </w:p>
        </w:tc>
        <w:tc>
          <w:tcPr>
            <w:tcW w:w="594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72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94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Exhibit</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6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66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97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 Herewith</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16"/>
                  <w:u w:val="single"/>
                </w:rPr>
                <w:t>Amended and Restated Certificate of Incorporation of the Registrant.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8-K</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001-42491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01/31/25</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16"/>
                  <w:u w:val="single"/>
                </w:rPr>
                <w:t>Amended and Restated Bylaws of the Registrant.</w:t>
              </w:r>
            </w:hyperlink>
            <w:r>
              <w:rPr>
                <w:rFonts w:ascii="Times New Roman" w:hAnsi="Times New Roman"/>
                <w:color w:val="000000"/>
                <w:sz w:val="16"/>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333-284147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01/06/25</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4.1</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16"/>
                  <w:u w:val="single"/>
                </w:rPr>
                <w:t>Form of Common Stock Certificate.</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S-1/A</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333-284147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01/22/25</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4.2</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16"/>
                  <w:u w:val="single"/>
                </w:rPr>
                <w:t>Amended and Restated Investor Rights Agreement, dated November 8, 2024, by and among the Registrant and certain of its stockholders.</w:t>
              </w:r>
            </w:hyperlink>
            <w:hyperlink r:id="rId7">
              <w:r>
                <w:rPr>
                  <w:rStyle w:val="InternetLink"/>
                  <w:rFonts w:ascii="Times New Roman" w:hAnsi="Times New Roman"/>
                  <w:color w:val="0000FF"/>
                  <w:sz w:val="16"/>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S-1</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333-284147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4.2</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01/06/25</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nx-ex10_1.htm">
              <w:r>
                <w:rPr>
                  <w:rStyle w:val="InternetLink"/>
                  <w:rFonts w:ascii="Times New Roman" w:hAnsi="Times New Roman"/>
                  <w:color w:val="0000FF"/>
                  <w:sz w:val="16"/>
                  <w:u w:val="single"/>
                </w:rPr>
                <w:t>Amendment No. 2 to Development and Commercialization Agreement, dated December 5, 2025 by and between Abbott Diabetes Care, Inc. and the Registrant.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nx-ex10_2.htm">
              <w:r>
                <w:rPr>
                  <w:rStyle w:val="InternetLink"/>
                  <w:rFonts w:ascii="Times New Roman" w:hAnsi="Times New Roman"/>
                  <w:color w:val="0000FF"/>
                  <w:sz w:val="16"/>
                  <w:u w:val="single"/>
                </w:rPr>
                <w:t>Amendment No. 3 to Development and Commercialization Agreement, dated July 8, 2026 by and between Abbott Diabetes Care, Inc. and the Registrant.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31.1</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nx-ex31_1.htm">
              <w:r>
                <w:rPr>
                  <w:rStyle w:val="InternetLink"/>
                  <w:rFonts w:ascii="Times New Roman" w:hAnsi="Times New Roman"/>
                  <w:color w:val="0000FF"/>
                  <w:sz w:val="16"/>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31.2</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nx-ex31_2.htm">
              <w:r>
                <w:rPr>
                  <w:rStyle w:val="InternetLink"/>
                  <w:rFonts w:ascii="Times New Roman" w:hAnsi="Times New Roman"/>
                  <w:color w:val="0000FF"/>
                  <w:sz w:val="16"/>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32.1+</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bnx-ex32_1.htm">
              <w:r>
                <w:rPr>
                  <w:rStyle w:val="InternetLink"/>
                  <w:rFonts w:ascii="Times New Roman" w:hAnsi="Times New Roman"/>
                  <w:color w:val="0000FF"/>
                  <w:sz w:val="16"/>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Instance Document–the instance document does not appear in the Interactive Data File as its XBRL tags are embedded within the Inline XBRL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Inline XBRL Taxonomy Extension Schema With Embedded Linkbase Documents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59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Cover page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X</w:t>
            </w:r>
          </w:p>
        </w:tc>
      </w:tr>
    </w:tbl>
    <w:p>
      <w:pPr>
        <w:pStyle w:val="TextBody"/>
        <w:pBdr>
          <w:bottom w:val="single" w:sz="8" w:space="1" w:color="000000"/>
        </w:pBdr>
        <w:bidi w:val="0"/>
        <w:jc w:val="left"/>
        <w:rPr/>
      </w:pPr>
      <w:r>
        <w:rPr/>
        <w:t> </w:t>
      </w:r>
    </w:p>
    <w:p>
      <w:pPr>
        <w:pStyle w:val="TextBody"/>
        <w:bidi w:val="0"/>
        <w:spacing w:before="240" w:after="283"/>
        <w:jc w:val="left"/>
        <w:rPr>
          <w:rFonts w:ascii="Times New Roman" w:hAnsi="Times New Roman"/>
          <w:color w:val="000000"/>
          <w:sz w:val="16"/>
        </w:rPr>
      </w:pPr>
      <w:r>
        <w:rPr>
          <w:rFonts w:ascii="Times New Roman" w:hAnsi="Times New Roman"/>
          <w:color w:val="000000"/>
          <w:sz w:val="16"/>
        </w:rPr>
        <w:t>+ The certification furnished in Exhibit 32.1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6194" w:type="dxa"/>
        <w:jc w:val="left"/>
        <w:tblInd w:w="0" w:type="dxa"/>
        <w:tblLayout w:type="fixed"/>
        <w:tblCellMar>
          <w:top w:w="28" w:type="dxa"/>
          <w:left w:w="28" w:type="dxa"/>
          <w:bottom w:w="28" w:type="dxa"/>
          <w:right w:w="28" w:type="dxa"/>
        </w:tblCellMar>
      </w:tblPr>
      <w:tblGrid>
        <w:gridCol w:w="1711"/>
        <w:gridCol w:w="146"/>
        <w:gridCol w:w="466"/>
        <w:gridCol w:w="387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BETA BIONICS,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29,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Sean Saint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Sean Saint</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Stephen Feider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Stephen Feider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ind w:left="0" w:right="360" w:hanging="0"/>
        <w:jc w:val="right"/>
        <w:rPr>
          <w:rFonts w:ascii="Times New Roman" w:hAnsi="Times New Roman"/>
          <w:sz w:val="20"/>
        </w:rPr>
      </w:pPr>
      <w:bookmarkStart w:id="21" w:name="bbnx-ex10_1.htm"/>
      <w:bookmarkStart w:id="22" w:name="ksbbnxex10_1"/>
      <w:bookmarkEnd w:id="21"/>
      <w:bookmarkEnd w:id="22"/>
      <w:r>
        <w:rPr>
          <w:rFonts w:ascii="Times New Roman" w:hAnsi="Times New Roman"/>
          <w:color w:val="000000"/>
          <w:sz w:val="24"/>
        </w:rPr>
        <w:t>CONFIDENTIAL</w:t>
      </w:r>
      <w:r>
        <w:rPr>
          <w:rFonts w:ascii="Times New Roman" w:hAnsi="Times New Roman"/>
          <w:color w:val="000000"/>
          <w:sz w:val="20"/>
        </w:rPr>
        <w:t xml:space="preserve"> </w:t>
      </w:r>
      <w:r>
        <w:br w:type="page"/>
      </w:r>
    </w:p>
    <w:p>
      <w:pPr>
        <w:pStyle w:val="TextBody"/>
        <w:bidi w:val="0"/>
        <w:ind w:left="0" w:right="360" w:hanging="0"/>
        <w:jc w:val="right"/>
        <w:rPr>
          <w:rFonts w:ascii="Times New Roman" w:hAnsi="Times New Roman"/>
          <w:color w:val="000000"/>
          <w:sz w:val="24"/>
        </w:rPr>
      </w:pPr>
      <w:r>
        <w:rPr>
          <w:rFonts w:ascii="Times New Roman" w:hAnsi="Times New Roman"/>
          <w:color w:val="000000"/>
          <w:sz w:val="24"/>
        </w:rPr>
        <w:t>EXECUTION COPY</w:t>
      </w:r>
    </w:p>
    <w:p>
      <w:pPr>
        <w:pStyle w:val="TextBody"/>
        <w:bidi w:val="0"/>
        <w:jc w:val="left"/>
        <w:rPr/>
      </w:pPr>
      <w:r>
        <w:rPr/>
        <w:t> </w:t>
      </w:r>
    </w:p>
    <w:p>
      <w:pPr>
        <w:pStyle w:val="Heading1"/>
        <w:bidi w:val="0"/>
        <w:ind w:left="1" w:right="358" w:hanging="0"/>
        <w:jc w:val="center"/>
        <w:rPr>
          <w:rFonts w:ascii="Times New Roman" w:hAnsi="Times New Roman"/>
          <w:color w:val="000000"/>
          <w:sz w:val="24"/>
        </w:rPr>
      </w:pPr>
      <w:r>
        <w:rPr>
          <w:rFonts w:ascii="Times New Roman" w:hAnsi="Times New Roman"/>
          <w:color w:val="000000"/>
          <w:sz w:val="24"/>
        </w:rPr>
        <w:t>AMENDMENT NO. 2 TO</w:t>
      </w:r>
    </w:p>
    <w:p>
      <w:pPr>
        <w:pStyle w:val="TextBody"/>
        <w:bidi w:val="0"/>
        <w:spacing w:before="3" w:after="283"/>
        <w:ind w:left="0" w:right="358" w:hanging="0"/>
        <w:jc w:val="center"/>
        <w:rPr>
          <w:rFonts w:ascii="Times New Roman" w:hAnsi="Times New Roman"/>
          <w:b/>
          <w:color w:val="000000"/>
          <w:sz w:val="24"/>
        </w:rPr>
      </w:pPr>
      <w:r>
        <w:rPr>
          <w:rFonts w:ascii="Times New Roman" w:hAnsi="Times New Roman"/>
          <w:b/>
          <w:color w:val="000000"/>
          <w:sz w:val="24"/>
        </w:rPr>
        <w:t>DEVELOPMENT AND COMMERCIALIZATION AGREEMENT</w:t>
      </w:r>
    </w:p>
    <w:p>
      <w:pPr>
        <w:pStyle w:val="TextBody"/>
        <w:bidi w:val="0"/>
        <w:spacing w:before="238" w:after="283"/>
        <w:ind w:left="0" w:right="357" w:firstLine="720"/>
        <w:jc w:val="both"/>
        <w:rPr>
          <w:rFonts w:ascii="Times New Roman" w:hAnsi="Times New Roman"/>
          <w:sz w:val="20"/>
        </w:rPr>
      </w:pPr>
      <w:r>
        <w:rPr>
          <w:rFonts w:ascii="Times New Roman" w:hAnsi="Times New Roman"/>
          <w:color w:val="000000"/>
          <w:sz w:val="24"/>
        </w:rPr>
        <w:t>This Amendment No. 2 to Development and Commercialization Agreement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is dated as of December 5, 2025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Beta Bionics, Inc. (“</w:t>
      </w:r>
      <w:r>
        <w:rPr>
          <w:rFonts w:ascii="Times New Roman" w:hAnsi="Times New Roman"/>
          <w:color w:val="000000"/>
          <w:sz w:val="24"/>
          <w:u w:val="single"/>
        </w:rPr>
        <w:t>Beta</w:t>
      </w:r>
      <w:r>
        <w:rPr>
          <w:rFonts w:ascii="Times New Roman" w:hAnsi="Times New Roman"/>
          <w:color w:val="000000"/>
          <w:sz w:val="20"/>
        </w:rPr>
        <w:t>”</w:t>
      </w:r>
      <w:r>
        <w:rPr>
          <w:rFonts w:ascii="Times New Roman" w:hAnsi="Times New Roman"/>
          <w:color w:val="000000"/>
          <w:sz w:val="24"/>
        </w:rPr>
        <w:t>) and Abbott Diabetes Care Inc. (“</w:t>
      </w:r>
      <w:r>
        <w:rPr>
          <w:rFonts w:ascii="Times New Roman" w:hAnsi="Times New Roman"/>
          <w:color w:val="000000"/>
          <w:sz w:val="24"/>
          <w:u w:val="single"/>
        </w:rPr>
        <w:t>ADC</w:t>
      </w:r>
      <w:r>
        <w:rPr>
          <w:rFonts w:ascii="Times New Roman" w:hAnsi="Times New Roman"/>
          <w:color w:val="000000"/>
          <w:sz w:val="20"/>
        </w:rPr>
        <w:t>”</w:t>
      </w:r>
      <w:r>
        <w:rPr>
          <w:rFonts w:ascii="Times New Roman" w:hAnsi="Times New Roman"/>
          <w:color w:val="000000"/>
          <w:sz w:val="24"/>
        </w:rPr>
        <w:t>). Capitalized terms used herein and not otherwise defined shall have the meaning ascribed to such terms in the Agreement.</w:t>
      </w:r>
    </w:p>
    <w:p>
      <w:pPr>
        <w:pStyle w:val="TextBody"/>
        <w:bidi w:val="0"/>
        <w:spacing w:before="240" w:after="283"/>
        <w:ind w:left="0" w:right="357"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Beta and ADC are parties to that certain Development and Commercialization Agreement dated as of April 2, 2024, as amended by Amendment No. 1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and</w:t>
      </w:r>
    </w:p>
    <w:p>
      <w:pPr>
        <w:pStyle w:val="TextBody"/>
        <w:bidi w:val="0"/>
        <w:spacing w:before="229" w:after="283"/>
        <w:ind w:left="0" w:right="357"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Beta and ADC wish to amend the Agreement to, among other things, include additional terms regarding feasibility assessment for the Dual Glucose Ketone (DGK) Sensor.</w:t>
      </w:r>
    </w:p>
    <w:p>
      <w:pPr>
        <w:pStyle w:val="TextBody"/>
        <w:bidi w:val="0"/>
        <w:spacing w:before="224" w:after="283"/>
        <w:ind w:left="0" w:right="357" w:firstLine="72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these premises, and for other good and valuable consideration, the receipt and sufficiency of which are hereby acknowledged, the Parties hereto agree as follows.</w:t>
      </w:r>
    </w:p>
    <w:p>
      <w:pPr>
        <w:pStyle w:val="TextBody"/>
        <w:bidi w:val="0"/>
        <w:spacing w:before="224" w:after="283"/>
        <w:ind w:left="0" w:right="357" w:hanging="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Amendments to Agreement</w:t>
      </w:r>
      <w:r>
        <w:rPr>
          <w:rFonts w:ascii="Times New Roman" w:hAnsi="Times New Roman"/>
          <w:color w:val="000000"/>
          <w:sz w:val="24"/>
        </w:rPr>
        <w:t>. The Parties hereby agree to amend the Agreement as follows:</w:t>
      </w:r>
    </w:p>
    <w:p>
      <w:pPr>
        <w:pStyle w:val="TextBody"/>
        <w:bidi w:val="0"/>
        <w:spacing w:before="238" w:after="283"/>
        <w:ind w:left="720" w:right="360" w:hanging="0"/>
        <w:jc w:val="left"/>
        <w:rPr>
          <w:rFonts w:ascii="Times New Roman" w:hAnsi="Times New Roman"/>
          <w:color w:val="000000"/>
          <w:sz w:val="24"/>
        </w:rPr>
      </w:pPr>
      <w:r>
        <w:rPr>
          <w:rFonts w:ascii="Times New Roman" w:hAnsi="Times New Roman"/>
          <w:color w:val="000000"/>
          <w:sz w:val="24"/>
        </w:rPr>
        <w:t>(a)</w:t>
      </w:r>
    </w:p>
    <w:p>
      <w:pPr>
        <w:pStyle w:val="TextBody"/>
        <w:bidi w:val="0"/>
        <w:spacing w:before="238" w:after="283"/>
        <w:jc w:val="left"/>
        <w:rPr/>
      </w:pPr>
      <w:r>
        <w:rPr>
          <w:rFonts w:ascii="Times New Roman" w:hAnsi="Times New Roman"/>
          <w:color w:val="000000"/>
          <w:sz w:val="24"/>
          <w:u w:val="single"/>
        </w:rPr>
        <w:t>DGK</w:t>
      </w:r>
      <w:r>
        <w:rPr>
          <w:rFonts w:ascii="Times New Roman" w:hAnsi="Times New Roman"/>
          <w:color w:val="000000"/>
          <w:sz w:val="24"/>
        </w:rPr>
        <w:t>. All references in the Agreement to “GKS” are hereby replaced with “DGK”.</w:t>
      </w:r>
    </w:p>
    <w:p>
      <w:pPr>
        <w:pStyle w:val="TextBody"/>
        <w:bidi w:val="0"/>
        <w:spacing w:before="238" w:after="283"/>
        <w:ind w:left="720" w:right="360" w:hanging="0"/>
        <w:jc w:val="left"/>
        <w:rPr>
          <w:rFonts w:ascii="Times New Roman" w:hAnsi="Times New Roman"/>
          <w:color w:val="000000"/>
          <w:sz w:val="24"/>
        </w:rPr>
      </w:pPr>
      <w:r>
        <w:rPr>
          <w:rFonts w:ascii="Times New Roman" w:hAnsi="Times New Roman"/>
          <w:color w:val="000000"/>
          <w:sz w:val="24"/>
        </w:rPr>
        <w:t>(b)</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The following definitions are hereby added to Article I of the Agreement:</w:t>
      </w:r>
    </w:p>
    <w:p>
      <w:pPr>
        <w:pStyle w:val="TextBody"/>
        <w:bidi w:val="0"/>
        <w:spacing w:before="232" w:after="283"/>
        <w:ind w:left="1440" w:right="360" w:hanging="0"/>
        <w:jc w:val="both"/>
        <w:rPr>
          <w:rFonts w:ascii="Times New Roman" w:hAnsi="Times New Roman"/>
          <w:color w:val="000000"/>
          <w:sz w:val="24"/>
        </w:rPr>
      </w:pPr>
      <w:r>
        <w:rPr>
          <w:rFonts w:ascii="Times New Roman" w:hAnsi="Times New Roman"/>
          <w:color w:val="000000"/>
          <w:sz w:val="24"/>
        </w:rPr>
        <w:t>(i)</w:t>
      </w:r>
    </w:p>
    <w:p>
      <w:pPr>
        <w:pStyle w:val="TextBody"/>
        <w:bidi w:val="0"/>
        <w:spacing w:before="232" w:after="283"/>
        <w:jc w:val="both"/>
        <w:rPr/>
      </w:pPr>
      <w:r>
        <w:rPr>
          <w:color w:val="000000"/>
        </w:rPr>
        <w:t>“</w:t>
      </w:r>
      <w:r>
        <w:rPr>
          <w:rFonts w:ascii="Times New Roman" w:hAnsi="Times New Roman"/>
          <w:color w:val="000000"/>
          <w:sz w:val="24"/>
          <w:u w:val="single"/>
        </w:rPr>
        <w:t>Second Amendment</w:t>
      </w:r>
      <w:r>
        <w:rPr>
          <w:color w:val="000000"/>
        </w:rPr>
        <w:t xml:space="preserve">” </w:t>
      </w:r>
      <w:r>
        <w:rPr>
          <w:rFonts w:ascii="Times New Roman" w:hAnsi="Times New Roman"/>
          <w:color w:val="000000"/>
          <w:sz w:val="24"/>
        </w:rPr>
        <w:t>means the second amendment to this Agreement entered into as of the Second Amendment Effective Date.</w:t>
      </w:r>
    </w:p>
    <w:p>
      <w:pPr>
        <w:pStyle w:val="TextBody"/>
        <w:bidi w:val="0"/>
        <w:spacing w:before="229" w:after="283"/>
        <w:ind w:left="1440" w:right="0" w:hanging="0"/>
        <w:jc w:val="left"/>
        <w:rPr>
          <w:rFonts w:ascii="Times New Roman" w:hAnsi="Times New Roman"/>
          <w:color w:val="000000"/>
          <w:sz w:val="24"/>
        </w:rPr>
      </w:pPr>
      <w:r>
        <w:rPr>
          <w:rFonts w:ascii="Times New Roman" w:hAnsi="Times New Roman"/>
          <w:color w:val="000000"/>
          <w:sz w:val="24"/>
        </w:rPr>
        <w:t>(ii)</w:t>
      </w:r>
    </w:p>
    <w:p>
      <w:pPr>
        <w:pStyle w:val="TextBody"/>
        <w:bidi w:val="0"/>
        <w:spacing w:before="229" w:after="283"/>
        <w:jc w:val="left"/>
        <w:rPr/>
      </w:pPr>
      <w:r>
        <w:rPr>
          <w:color w:val="000000"/>
        </w:rPr>
        <w:t>“</w:t>
      </w:r>
      <w:r>
        <w:rPr>
          <w:rFonts w:ascii="Times New Roman" w:hAnsi="Times New Roman"/>
          <w:color w:val="000000"/>
          <w:sz w:val="24"/>
          <w:u w:val="single"/>
        </w:rPr>
        <w:t>Second Amendment Effective Date</w:t>
      </w:r>
      <w:r>
        <w:rPr>
          <w:color w:val="000000"/>
        </w:rPr>
        <w:t xml:space="preserve">” </w:t>
      </w:r>
      <w:r>
        <w:rPr>
          <w:rFonts w:ascii="Times New Roman" w:hAnsi="Times New Roman"/>
          <w:color w:val="000000"/>
          <w:sz w:val="24"/>
        </w:rPr>
        <w:t>means December 5, 2025.</w:t>
      </w:r>
    </w:p>
    <w:p>
      <w:pPr>
        <w:pStyle w:val="TextBody"/>
        <w:bidi w:val="0"/>
        <w:spacing w:before="237" w:after="283"/>
        <w:ind w:left="720" w:right="360" w:hanging="0"/>
        <w:jc w:val="left"/>
        <w:rPr>
          <w:rFonts w:ascii="Times New Roman" w:hAnsi="Times New Roman"/>
          <w:color w:val="000000"/>
          <w:sz w:val="24"/>
        </w:rPr>
      </w:pPr>
      <w:r>
        <w:rPr>
          <w:rFonts w:ascii="Times New Roman" w:hAnsi="Times New Roman"/>
          <w:color w:val="000000"/>
          <w:sz w:val="24"/>
        </w:rPr>
        <w:t>(c)</w:t>
      </w:r>
    </w:p>
    <w:p>
      <w:pPr>
        <w:pStyle w:val="TextBody"/>
        <w:bidi w:val="0"/>
        <w:spacing w:before="237" w:after="283"/>
        <w:jc w:val="left"/>
        <w:rPr/>
      </w:pPr>
      <w:r>
        <w:rPr>
          <w:rFonts w:ascii="Times New Roman" w:hAnsi="Times New Roman"/>
          <w:color w:val="000000"/>
          <w:sz w:val="24"/>
          <w:u w:val="single"/>
        </w:rPr>
        <w:t>Confidential Information; ADC Highly Confidential Information; DGK</w:t>
      </w:r>
      <w:r>
        <w:rPr>
          <w:color w:val="000000"/>
        </w:rPr>
        <w:t xml:space="preserve"> </w:t>
      </w:r>
      <w:r>
        <w:rPr>
          <w:rFonts w:ascii="Times New Roman" w:hAnsi="Times New Roman"/>
          <w:color w:val="000000"/>
          <w:sz w:val="24"/>
          <w:u w:val="single"/>
        </w:rPr>
        <w:t>Documentation</w:t>
      </w:r>
      <w:r>
        <w:rPr>
          <w:rFonts w:ascii="Times New Roman" w:hAnsi="Times New Roman"/>
          <w:color w:val="000000"/>
          <w:sz w:val="24"/>
        </w:rPr>
        <w:t>.</w:t>
      </w:r>
    </w:p>
    <w:p>
      <w:pPr>
        <w:pStyle w:val="TextBody"/>
        <w:bidi w:val="0"/>
        <w:spacing w:before="235" w:after="283"/>
        <w:ind w:left="1440" w:right="360" w:hanging="0"/>
        <w:jc w:val="both"/>
        <w:rPr>
          <w:rFonts w:ascii="Times New Roman" w:hAnsi="Times New Roman"/>
          <w:color w:val="000000"/>
          <w:sz w:val="24"/>
        </w:rPr>
      </w:pPr>
      <w:r>
        <w:rPr>
          <w:rFonts w:ascii="Times New Roman" w:hAnsi="Times New Roman"/>
          <w:color w:val="000000"/>
          <w:sz w:val="24"/>
        </w:rPr>
        <w:t>(i)</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The definition set forth in Section 1.35 (Confidential Information) is hereby amended to add “the DGK Sensors (including any associated branding),” after “Confidential Information of ADC includes”.</w:t>
      </w:r>
    </w:p>
    <w:p>
      <w:pPr>
        <w:pStyle w:val="TextBody"/>
        <w:bidi w:val="0"/>
        <w:spacing w:before="229" w:after="283"/>
        <w:ind w:left="1440" w:right="360" w:hanging="0"/>
        <w:jc w:val="both"/>
        <w:rPr>
          <w:rFonts w:ascii="Times New Roman" w:hAnsi="Times New Roman"/>
          <w:color w:val="000000"/>
          <w:sz w:val="24"/>
        </w:rPr>
      </w:pPr>
      <w:r>
        <w:rPr>
          <w:rFonts w:ascii="Times New Roman" w:hAnsi="Times New Roman"/>
          <w:color w:val="000000"/>
          <w:sz w:val="24"/>
        </w:rPr>
        <w:t>(ii)</w:t>
      </w:r>
    </w:p>
    <w:p>
      <w:pPr>
        <w:pStyle w:val="TextBody"/>
        <w:bidi w:val="0"/>
        <w:spacing w:before="229" w:after="283"/>
        <w:jc w:val="both"/>
        <w:rPr>
          <w:rFonts w:ascii="Times New Roman" w:hAnsi="Times New Roman"/>
          <w:color w:val="000000"/>
          <w:sz w:val="24"/>
        </w:rPr>
      </w:pPr>
      <w:r>
        <w:rPr>
          <w:rFonts w:ascii="Times New Roman" w:hAnsi="Times New Roman"/>
          <w:color w:val="000000"/>
          <w:sz w:val="24"/>
        </w:rPr>
        <w:t>The definition set forth in Section 1.3 (ADC Highly Confidential Information) is hereby amended to add “or DGK Sensors including any associated branding (excluding test sensors to the extent expressly designated in writing by ADC as not being ADC Highly Confidential Information)” after “DGK Technology”.</w:t>
      </w:r>
    </w:p>
    <w:p>
      <w:pPr>
        <w:pStyle w:val="TextBody"/>
        <w:bidi w:val="0"/>
        <w:spacing w:before="243" w:after="283"/>
        <w:ind w:left="1440" w:right="360" w:hanging="0"/>
        <w:jc w:val="both"/>
        <w:rPr>
          <w:rFonts w:ascii="Times New Roman" w:hAnsi="Times New Roman"/>
          <w:color w:val="000000"/>
          <w:sz w:val="24"/>
        </w:rPr>
      </w:pPr>
      <w:r>
        <w:rPr>
          <w:rFonts w:ascii="Times New Roman" w:hAnsi="Times New Roman"/>
          <w:color w:val="000000"/>
          <w:sz w:val="24"/>
        </w:rPr>
        <w:t>(iii)</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The definition of “DGK Documentation” is hereby amended to add “and user manuals” after “the specifications”.</w:t>
      </w:r>
    </w:p>
    <w:p>
      <w:pPr>
        <w:pStyle w:val="TextBody"/>
        <w:bidi w:val="0"/>
        <w:spacing w:before="61"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61" w:after="283"/>
        <w:jc w:val="left"/>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233" w:after="283"/>
        <w:ind w:left="0" w:right="360" w:firstLine="720"/>
        <w:jc w:val="both"/>
        <w:rPr>
          <w:rFonts w:ascii="Times New Roman" w:hAnsi="Times New Roman"/>
          <w:color w:val="000000"/>
          <w:sz w:val="24"/>
        </w:rPr>
      </w:pPr>
      <w:r>
        <w:rPr>
          <w:rFonts w:ascii="Times New Roman" w:hAnsi="Times New Roman"/>
          <w:color w:val="000000"/>
          <w:sz w:val="24"/>
        </w:rPr>
        <w:t>(a)</w:t>
      </w:r>
    </w:p>
    <w:p>
      <w:pPr>
        <w:pStyle w:val="TextBody"/>
        <w:bidi w:val="0"/>
        <w:spacing w:before="233" w:after="283"/>
        <w:jc w:val="both"/>
        <w:rPr/>
      </w:pPr>
      <w:r>
        <w:rPr>
          <w:rFonts w:ascii="Times New Roman" w:hAnsi="Times New Roman"/>
          <w:color w:val="000000"/>
          <w:sz w:val="24"/>
          <w:u w:val="single"/>
        </w:rPr>
        <w:t>No Other Amendments</w:t>
      </w:r>
      <w:r>
        <w:rPr>
          <w:rFonts w:ascii="Times New Roman" w:hAnsi="Times New Roman"/>
          <w:color w:val="000000"/>
          <w:sz w:val="24"/>
        </w:rPr>
        <w:t>. Except as modified herein, all other terms of the Agreement shall remain in full force and effect.</w:t>
      </w:r>
    </w:p>
    <w:p>
      <w:pPr>
        <w:pStyle w:val="TextBody"/>
        <w:bidi w:val="0"/>
        <w:spacing w:before="224" w:after="283"/>
        <w:ind w:left="0" w:right="360" w:firstLine="720"/>
        <w:jc w:val="both"/>
        <w:rPr>
          <w:rFonts w:ascii="Times New Roman" w:hAnsi="Times New Roman"/>
          <w:color w:val="000000"/>
          <w:sz w:val="24"/>
        </w:rPr>
      </w:pPr>
      <w:r>
        <w:rPr>
          <w:rFonts w:ascii="Times New Roman" w:hAnsi="Times New Roman"/>
          <w:color w:val="000000"/>
          <w:sz w:val="24"/>
        </w:rPr>
        <w:t>(b)</w:t>
      </w:r>
    </w:p>
    <w:p>
      <w:pPr>
        <w:pStyle w:val="TextBody"/>
        <w:bidi w:val="0"/>
        <w:spacing w:before="224" w:after="283"/>
        <w:jc w:val="both"/>
        <w:rPr/>
      </w:pPr>
      <w:r>
        <w:rPr>
          <w:rFonts w:ascii="Times New Roman" w:hAnsi="Times New Roman"/>
          <w:color w:val="000000"/>
          <w:sz w:val="24"/>
          <w:u w:val="single"/>
        </w:rPr>
        <w:t>Conflicts</w:t>
      </w:r>
      <w:r>
        <w:rPr>
          <w:rFonts w:ascii="Times New Roman" w:hAnsi="Times New Roman"/>
          <w:color w:val="000000"/>
          <w:sz w:val="24"/>
        </w:rPr>
        <w:t>. In the event of a conflict between the terms of the Agreement and this Amendment, the terms of this Amendment shall govern.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spacing w:before="223" w:after="283"/>
        <w:ind w:left="0" w:right="360" w:firstLine="720"/>
        <w:jc w:val="both"/>
        <w:rPr>
          <w:rFonts w:ascii="Times New Roman" w:hAnsi="Times New Roman"/>
          <w:color w:val="000000"/>
          <w:sz w:val="24"/>
        </w:rPr>
      </w:pPr>
      <w:r>
        <w:rPr>
          <w:rFonts w:ascii="Times New Roman" w:hAnsi="Times New Roman"/>
          <w:color w:val="000000"/>
          <w:sz w:val="24"/>
        </w:rPr>
        <w:t>(c)</w:t>
      </w:r>
    </w:p>
    <w:p>
      <w:pPr>
        <w:pStyle w:val="TextBody"/>
        <w:bidi w:val="0"/>
        <w:spacing w:before="223" w:after="283"/>
        <w:jc w:val="both"/>
        <w:rPr/>
      </w:pPr>
      <w:r>
        <w:rPr>
          <w:rFonts w:ascii="Times New Roman" w:hAnsi="Times New Roman"/>
          <w:color w:val="000000"/>
          <w:sz w:val="24"/>
          <w:u w:val="single"/>
        </w:rPr>
        <w:t>Counterparts</w:t>
      </w:r>
      <w:r>
        <w:rPr>
          <w:rFonts w:ascii="Times New Roman" w:hAnsi="Times New Roman"/>
          <w:b/>
          <w:color w:val="000000"/>
          <w:sz w:val="24"/>
        </w:rPr>
        <w:t xml:space="preserve">. </w:t>
      </w:r>
      <w:r>
        <w:rPr>
          <w:rFonts w:ascii="Times New Roman" w:hAnsi="Times New Roman"/>
          <w:color w:val="000000"/>
          <w:sz w:val="24"/>
        </w:rPr>
        <w:t>This Amendment may be executed in counterparts, each of which shall be deemed to be an original and all of which together shall be deemed to be one and the same instrument.</w:t>
      </w:r>
    </w:p>
    <w:p>
      <w:pPr>
        <w:pStyle w:val="TextBody"/>
        <w:bidi w:val="0"/>
        <w:spacing w:before="239" w:after="283"/>
        <w:ind w:left="0" w:right="358" w:hanging="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spacing w:before="76" w:after="283"/>
        <w:ind w:left="0" w:right="0" w:firstLine="72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this Amendment has been executed by the duly authorized representatives of Beta and ADC on the date first set forth above.</w:t>
      </w:r>
    </w:p>
    <w:p>
      <w:pPr>
        <w:pStyle w:val="TextBody"/>
        <w:bidi w:val="0"/>
        <w:jc w:val="left"/>
        <w:rPr/>
      </w:pPr>
      <w:r>
        <w:rPr/>
        <w:t> </w:t>
      </w:r>
    </w:p>
    <w:p>
      <w:pPr>
        <w:pStyle w:val="TextBody"/>
        <w:bidi w:val="0"/>
        <w:spacing w:before="201" w:after="283"/>
        <w:jc w:val="left"/>
        <w:rPr/>
      </w:pPr>
      <w:r>
        <w:rPr/>
        <w:t> </w:t>
      </w:r>
    </w:p>
    <w:p>
      <w:pPr>
        <w:pStyle w:val="Heading1"/>
        <w:bidi w:val="0"/>
        <w:jc w:val="both"/>
        <w:rPr>
          <w:rFonts w:ascii="Times New Roman" w:hAnsi="Times New Roman"/>
          <w:color w:val="000000"/>
          <w:sz w:val="24"/>
        </w:rPr>
      </w:pPr>
      <w:r>
        <w:rPr>
          <w:rFonts w:ascii="Times New Roman" w:hAnsi="Times New Roman"/>
          <w:color w:val="000000"/>
          <w:sz w:val="24"/>
        </w:rPr>
        <w:t>Abbott Diabetes Care Inc. Beta Bionics, Inc.</w:t>
      </w:r>
    </w:p>
    <w:p>
      <w:pPr>
        <w:pStyle w:val="Heading1"/>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Ruchi Varshneya </w:t>
      </w: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Michael R Mensinger_</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Ruchi Varshneya </w:t>
      </w: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Michael R Mensinger_</w:t>
      </w:r>
    </w:p>
    <w:p>
      <w:pPr>
        <w:pStyle w:val="TextBody"/>
        <w:bidi w:val="0"/>
        <w:ind w:left="0" w:right="358" w:hanging="0"/>
        <w:jc w:val="both"/>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 xml:space="preserve">DVP, Global Strategic Marketing </w:t>
      </w: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Chief Product Officer_</w:t>
      </w:r>
    </w:p>
    <w:p>
      <w:pPr>
        <w:pStyle w:val="TextBody"/>
        <w:bidi w:val="0"/>
        <w:ind w:left="0" w:right="358" w:hanging="0"/>
        <w:jc w:val="both"/>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r>
        <w:rPr>
          <w:rFonts w:ascii="Times New Roman" w:hAnsi="Times New Roman"/>
          <w:color w:val="000000"/>
          <w:sz w:val="24"/>
          <w:u w:val="single"/>
        </w:rPr>
        <w:t xml:space="preserve">December 9, 2025 </w:t>
      </w:r>
      <w:r>
        <w:rPr>
          <w:rFonts w:ascii="Times New Roman" w:hAnsi="Times New Roman"/>
          <w:color w:val="000000"/>
          <w:sz w:val="24"/>
        </w:rPr>
        <w:t>Date:</w:t>
      </w:r>
      <w:r>
        <w:rPr>
          <w:rFonts w:ascii="Times New Roman" w:hAnsi="Times New Roman"/>
          <w:color w:val="000000"/>
          <w:sz w:val="20"/>
          <w:u w:val="single"/>
        </w:rPr>
        <w:t xml:space="preserve"> </w:t>
      </w:r>
      <w:r>
        <w:rPr>
          <w:rFonts w:ascii="Times New Roman" w:hAnsi="Times New Roman"/>
          <w:color w:val="000000"/>
          <w:sz w:val="24"/>
          <w:u w:val="single"/>
        </w:rPr>
        <w:t>December 8, 2025_</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rFonts w:ascii="Times New Roman" w:hAnsi="Times New Roman"/>
          <w:sz w:val="20"/>
        </w:rPr>
      </w:pPr>
      <w:bookmarkStart w:id="23" w:name="bbnx-ex10_2.htm"/>
      <w:bookmarkStart w:id="24" w:name="ksbbnxex10_2"/>
      <w:bookmarkEnd w:id="23"/>
      <w:bookmarkEnd w:id="24"/>
      <w:r>
        <w:rPr>
          <w:rFonts w:ascii="Times New Roman" w:hAnsi="Times New Roman"/>
          <w:color w:val="000000"/>
          <w:sz w:val="24"/>
        </w:rPr>
        <w:t>CONFIDENTIAL</w:t>
      </w:r>
      <w:r>
        <w:rPr>
          <w:rFonts w:ascii="Times New Roman" w:hAnsi="Times New Roman"/>
          <w:color w:val="000000"/>
          <w:sz w:val="20"/>
        </w:rPr>
        <w:t xml:space="preserve"> </w:t>
      </w:r>
      <w:r>
        <w:br w:type="page"/>
      </w:r>
    </w:p>
    <w:p>
      <w:pPr>
        <w:pStyle w:val="TextBody"/>
        <w:bidi w:val="0"/>
        <w:ind w:left="0" w:right="360" w:hanging="0"/>
        <w:jc w:val="right"/>
        <w:rPr>
          <w:rFonts w:ascii="Times New Roman" w:hAnsi="Times New Roman"/>
          <w:color w:val="000000"/>
          <w:sz w:val="24"/>
        </w:rPr>
      </w:pPr>
      <w:r>
        <w:rPr>
          <w:rFonts w:ascii="Times New Roman" w:hAnsi="Times New Roman"/>
          <w:color w:val="000000"/>
          <w:sz w:val="24"/>
        </w:rPr>
        <w:t>EXECUTION COPY</w:t>
      </w:r>
    </w:p>
    <w:p>
      <w:pPr>
        <w:pStyle w:val="TextBody"/>
        <w:bidi w:val="0"/>
        <w:jc w:val="left"/>
        <w:rPr/>
      </w:pPr>
      <w:r>
        <w:rPr/>
        <w:t> </w:t>
      </w:r>
    </w:p>
    <w:p>
      <w:pPr>
        <w:pStyle w:val="Heading1"/>
        <w:bidi w:val="0"/>
        <w:ind w:left="10" w:right="363" w:hanging="0"/>
        <w:jc w:val="center"/>
        <w:rPr>
          <w:rFonts w:ascii="Times New Roman" w:hAnsi="Times New Roman"/>
          <w:color w:val="000000"/>
          <w:sz w:val="24"/>
        </w:rPr>
      </w:pPr>
      <w:r>
        <w:rPr>
          <w:rFonts w:ascii="Times New Roman" w:hAnsi="Times New Roman"/>
          <w:color w:val="000000"/>
          <w:sz w:val="24"/>
        </w:rPr>
        <w:t>AMENDMENT NO. 3 TO</w:t>
      </w:r>
    </w:p>
    <w:p>
      <w:pPr>
        <w:pStyle w:val="TextBody"/>
        <w:bidi w:val="0"/>
        <w:spacing w:before="7" w:after="283"/>
        <w:ind w:left="3" w:right="363" w:hanging="0"/>
        <w:jc w:val="center"/>
        <w:rPr>
          <w:rFonts w:ascii="Times New Roman" w:hAnsi="Times New Roman"/>
          <w:b/>
          <w:color w:val="000000"/>
          <w:sz w:val="24"/>
        </w:rPr>
      </w:pPr>
      <w:r>
        <w:rPr>
          <w:rFonts w:ascii="Times New Roman" w:hAnsi="Times New Roman"/>
          <w:b/>
          <w:color w:val="000000"/>
          <w:sz w:val="24"/>
        </w:rPr>
        <w:t>DEVELOPMENT AND COMMERCIALIZATION AGREEMENT</w:t>
      </w:r>
    </w:p>
    <w:p>
      <w:pPr>
        <w:pStyle w:val="TextBody"/>
        <w:bidi w:val="0"/>
        <w:spacing w:before="233" w:after="283"/>
        <w:ind w:left="0" w:right="352" w:firstLine="720"/>
        <w:jc w:val="both"/>
        <w:rPr>
          <w:rFonts w:ascii="Times New Roman" w:hAnsi="Times New Roman"/>
          <w:sz w:val="20"/>
        </w:rPr>
      </w:pPr>
      <w:r>
        <w:rPr>
          <w:rFonts w:ascii="Times New Roman" w:hAnsi="Times New Roman"/>
          <w:color w:val="000000"/>
          <w:sz w:val="24"/>
        </w:rPr>
        <w:t>This Amendment No. 3 to the Development and Commercialization Agreement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is entered into by and between Beta Bionics, Inc. (“</w:t>
      </w:r>
      <w:r>
        <w:rPr>
          <w:rFonts w:ascii="Times New Roman" w:hAnsi="Times New Roman"/>
          <w:color w:val="000000"/>
          <w:sz w:val="24"/>
          <w:u w:val="single"/>
        </w:rPr>
        <w:t>Beta</w:t>
      </w:r>
      <w:r>
        <w:rPr>
          <w:rFonts w:ascii="Times New Roman" w:hAnsi="Times New Roman"/>
          <w:color w:val="000000"/>
          <w:sz w:val="20"/>
        </w:rPr>
        <w:t>”</w:t>
      </w:r>
      <w:r>
        <w:rPr>
          <w:rFonts w:ascii="Times New Roman" w:hAnsi="Times New Roman"/>
          <w:color w:val="000000"/>
          <w:sz w:val="24"/>
        </w:rPr>
        <w:t>) and Abbott Diabetes Care Inc. (“</w:t>
      </w:r>
      <w:r>
        <w:rPr>
          <w:rFonts w:ascii="Times New Roman" w:hAnsi="Times New Roman"/>
          <w:color w:val="000000"/>
          <w:sz w:val="24"/>
          <w:u w:val="single"/>
        </w:rPr>
        <w:t>ADC</w:t>
      </w:r>
      <w:r>
        <w:rPr>
          <w:rFonts w:ascii="Times New Roman" w:hAnsi="Times New Roman"/>
          <w:color w:val="000000"/>
          <w:sz w:val="20"/>
        </w:rPr>
        <w:t>”</w:t>
      </w:r>
      <w:r>
        <w:rPr>
          <w:rFonts w:ascii="Times New Roman" w:hAnsi="Times New Roman"/>
          <w:color w:val="000000"/>
          <w:sz w:val="24"/>
        </w:rPr>
        <w:t>) on July 8, 2026. Capitalized terms used herein and not otherwise defined shall have the meanings ascribed to such terms in the Agreement.</w:t>
      </w:r>
    </w:p>
    <w:p>
      <w:pPr>
        <w:pStyle w:val="TextBody"/>
        <w:bidi w:val="0"/>
        <w:spacing w:before="229" w:after="283"/>
        <w:ind w:left="0" w:right="349"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Beta and ADC are parties to that certain Development and Commercialization Agreement dated as of April 2, 2024, as amended by Amendment No. 1 through Amendment No. 2 (as amended,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and</w:t>
      </w:r>
    </w:p>
    <w:p>
      <w:pPr>
        <w:pStyle w:val="TextBody"/>
        <w:bidi w:val="0"/>
        <w:spacing w:before="235" w:after="283"/>
        <w:ind w:left="0" w:right="351" w:firstLine="72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Beta and ADC wish to further amend the Agreement to include additional terms regarding the integration of the Beta App Controller and Mint Pump (each as defined below) into the Libre-Beta System.</w:t>
      </w:r>
    </w:p>
    <w:p>
      <w:pPr>
        <w:pStyle w:val="TextBody"/>
        <w:bidi w:val="0"/>
        <w:spacing w:before="230" w:after="283"/>
        <w:ind w:left="0" w:right="358" w:firstLine="72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these premises, and for other good and valuable consideration, the receipt and sufficiency of which are hereby acknowledged, the Parties hereto agree as follows.</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39" w:after="283"/>
        <w:jc w:val="left"/>
        <w:rPr/>
      </w:pPr>
      <w:r>
        <w:rPr>
          <w:rFonts w:ascii="Times New Roman" w:hAnsi="Times New Roman"/>
          <w:color w:val="000000"/>
          <w:sz w:val="24"/>
          <w:u w:val="single"/>
        </w:rPr>
        <w:t>Amendments to Agreement</w:t>
      </w:r>
      <w:r>
        <w:rPr>
          <w:rFonts w:ascii="Times New Roman" w:hAnsi="Times New Roman"/>
          <w:color w:val="000000"/>
          <w:sz w:val="24"/>
        </w:rPr>
        <w:t>. The Parties hereby agree to amend the Agreement as [follows:</w:t>
      </w:r>
    </w:p>
    <w:p>
      <w:pPr>
        <w:pStyle w:val="TextBody"/>
        <w:bidi w:val="0"/>
        <w:spacing w:before="238" w:after="283"/>
        <w:ind w:left="720" w:right="0" w:hanging="0"/>
        <w:jc w:val="left"/>
        <w:rPr>
          <w:rFonts w:ascii="Times New Roman" w:hAnsi="Times New Roman"/>
          <w:color w:val="000000"/>
          <w:sz w:val="24"/>
        </w:rPr>
      </w:pPr>
      <w:r>
        <w:rPr>
          <w:rFonts w:ascii="Times New Roman" w:hAnsi="Times New Roman"/>
          <w:color w:val="000000"/>
          <w:sz w:val="24"/>
        </w:rPr>
        <w:t>(a)</w:t>
      </w:r>
    </w:p>
    <w:p>
      <w:pPr>
        <w:pStyle w:val="TextBody"/>
        <w:bidi w:val="0"/>
        <w:spacing w:before="238" w:after="283"/>
        <w:jc w:val="left"/>
        <w:rPr/>
      </w:pPr>
      <w:r>
        <w:rPr>
          <w:rFonts w:ascii="Times New Roman" w:hAnsi="Times New Roman"/>
          <w:color w:val="000000"/>
          <w:sz w:val="24"/>
          <w:u w:val="single"/>
        </w:rPr>
        <w:t>Definitions</w:t>
      </w:r>
      <w:r>
        <w:rPr>
          <w:rFonts w:ascii="Times New Roman" w:hAnsi="Times New Roman"/>
          <w:color w:val="000000"/>
          <w:sz w:val="24"/>
        </w:rPr>
        <w:t>.</w:t>
      </w:r>
    </w:p>
    <w:p>
      <w:pPr>
        <w:pStyle w:val="TextBody"/>
        <w:bidi w:val="0"/>
        <w:spacing w:before="242" w:after="283"/>
        <w:ind w:left="1440" w:right="0" w:hanging="0"/>
        <w:jc w:val="left"/>
        <w:rPr>
          <w:rFonts w:ascii="Times New Roman" w:hAnsi="Times New Roman"/>
          <w:color w:val="000000"/>
          <w:sz w:val="24"/>
        </w:rPr>
      </w:pPr>
      <w:r>
        <w:rPr>
          <w:rFonts w:ascii="Times New Roman" w:hAnsi="Times New Roman"/>
          <w:color w:val="000000"/>
          <w:sz w:val="24"/>
        </w:rPr>
        <w:t>(i)</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The following definitions are hereby added to the Agreement.</w:t>
      </w:r>
    </w:p>
    <w:p>
      <w:pPr>
        <w:pStyle w:val="TextBody"/>
        <w:bidi w:val="0"/>
        <w:spacing w:before="233" w:after="283"/>
        <w:ind w:left="2161" w:right="354" w:hanging="0"/>
        <w:jc w:val="both"/>
        <w:rPr/>
      </w:pPr>
      <w:r>
        <w:rPr>
          <w:color w:val="000000"/>
        </w:rPr>
        <w:t>“</w:t>
      </w:r>
      <w:r>
        <w:rPr>
          <w:rFonts w:ascii="Times New Roman" w:hAnsi="Times New Roman"/>
          <w:color w:val="000000"/>
          <w:sz w:val="24"/>
          <w:u w:val="single"/>
        </w:rPr>
        <w:t>Beta App Controller</w:t>
      </w:r>
      <w:r>
        <w:rPr>
          <w:rFonts w:ascii="Times New Roman" w:hAnsi="Times New Roman"/>
          <w:color w:val="000000"/>
          <w:sz w:val="20"/>
        </w:rPr>
        <w:t xml:space="preserve">” </w:t>
      </w:r>
      <w:r>
        <w:rPr>
          <w:rFonts w:ascii="Times New Roman" w:hAnsi="Times New Roman"/>
          <w:color w:val="000000"/>
          <w:sz w:val="24"/>
        </w:rPr>
        <w:t>means Beta’s proprietary smartphone application that wirelessly communicates with and controls the Mint Pump, displays system alerts, real-time sensor data and therapy status and serves as the primary user interface for the Mint Pump.</w:t>
      </w:r>
    </w:p>
    <w:p>
      <w:pPr>
        <w:pStyle w:val="TextBody"/>
        <w:bidi w:val="0"/>
        <w:spacing w:before="230" w:after="283"/>
        <w:ind w:left="2161" w:right="355" w:hanging="0"/>
        <w:jc w:val="both"/>
        <w:rPr/>
      </w:pPr>
      <w:r>
        <w:rPr>
          <w:color w:val="000000"/>
        </w:rPr>
        <w:t>“</w:t>
      </w:r>
      <w:r>
        <w:rPr>
          <w:rFonts w:ascii="Times New Roman" w:hAnsi="Times New Roman"/>
          <w:color w:val="000000"/>
          <w:sz w:val="24"/>
          <w:u w:val="single"/>
        </w:rPr>
        <w:t>Mint Pump</w:t>
      </w:r>
      <w:r>
        <w:rPr>
          <w:rFonts w:ascii="Times New Roman" w:hAnsi="Times New Roman"/>
          <w:color w:val="000000"/>
          <w:sz w:val="20"/>
        </w:rPr>
        <w:t xml:space="preserve">” </w:t>
      </w:r>
      <w:r>
        <w:rPr>
          <w:rFonts w:ascii="Times New Roman" w:hAnsi="Times New Roman"/>
          <w:color w:val="000000"/>
          <w:sz w:val="24"/>
        </w:rPr>
        <w:t>means the patch pump referred to by Beta as of the Third Amendment Effective Date as Mint.</w:t>
      </w:r>
    </w:p>
    <w:p>
      <w:pPr>
        <w:pStyle w:val="TextBody"/>
        <w:bidi w:val="0"/>
        <w:spacing w:before="228" w:after="283"/>
        <w:ind w:left="2161" w:right="0" w:hanging="0"/>
        <w:jc w:val="both"/>
        <w:rPr/>
      </w:pPr>
      <w:r>
        <w:rPr>
          <w:color w:val="000000"/>
        </w:rPr>
        <w:t>“</w:t>
      </w:r>
      <w:r>
        <w:rPr>
          <w:rFonts w:ascii="Times New Roman" w:hAnsi="Times New Roman"/>
          <w:color w:val="000000"/>
          <w:sz w:val="24"/>
          <w:u w:val="single"/>
        </w:rPr>
        <w:t>Third Amendment Effective Date</w:t>
      </w:r>
      <w:r>
        <w:rPr>
          <w:rFonts w:ascii="Times New Roman" w:hAnsi="Times New Roman"/>
          <w:color w:val="000000"/>
          <w:sz w:val="20"/>
        </w:rPr>
        <w:t xml:space="preserve">” </w:t>
      </w:r>
      <w:r>
        <w:rPr>
          <w:rFonts w:ascii="Times New Roman" w:hAnsi="Times New Roman"/>
          <w:color w:val="000000"/>
          <w:sz w:val="24"/>
        </w:rPr>
        <w:t>means July 8, 2026.</w:t>
      </w:r>
    </w:p>
    <w:p>
      <w:pPr>
        <w:pStyle w:val="TextBody"/>
        <w:bidi w:val="0"/>
        <w:spacing w:before="238" w:after="283"/>
        <w:ind w:left="1440" w:right="360" w:hanging="0"/>
        <w:jc w:val="left"/>
        <w:rPr>
          <w:rFonts w:ascii="Times New Roman" w:hAnsi="Times New Roman"/>
          <w:color w:val="000000"/>
          <w:sz w:val="24"/>
        </w:rPr>
      </w:pPr>
      <w:r>
        <w:rPr>
          <w:rFonts w:ascii="Times New Roman" w:hAnsi="Times New Roman"/>
          <w:color w:val="000000"/>
          <w:sz w:val="24"/>
        </w:rPr>
        <w:t>(ii)</w:t>
      </w:r>
    </w:p>
    <w:p>
      <w:pPr>
        <w:pStyle w:val="TextBody"/>
        <w:bidi w:val="0"/>
        <w:spacing w:before="238" w:after="283"/>
        <w:jc w:val="left"/>
        <w:rPr/>
      </w:pPr>
      <w:r>
        <w:rPr>
          <w:rFonts w:ascii="Times New Roman" w:hAnsi="Times New Roman"/>
          <w:color w:val="000000"/>
          <w:sz w:val="24"/>
          <w:u w:val="single"/>
        </w:rPr>
        <w:t>Exhibit 1.25</w:t>
      </w:r>
      <w:r>
        <w:rPr>
          <w:color w:val="000000"/>
        </w:rPr>
        <w:t xml:space="preserve"> </w:t>
      </w:r>
      <w:r>
        <w:rPr>
          <w:rFonts w:ascii="Times New Roman" w:hAnsi="Times New Roman"/>
          <w:color w:val="000000"/>
          <w:sz w:val="24"/>
        </w:rPr>
        <w:t xml:space="preserve">(Beta Marks) is hereby deleted in its entirety and replaced with </w:t>
      </w:r>
      <w:r>
        <w:rPr>
          <w:rFonts w:ascii="Times New Roman" w:hAnsi="Times New Roman"/>
          <w:color w:val="000000"/>
          <w:sz w:val="24"/>
          <w:u w:val="single"/>
        </w:rPr>
        <w:t>Exhibit 1.25</w:t>
      </w:r>
      <w:r>
        <w:rPr>
          <w:color w:val="000000"/>
        </w:rPr>
        <w:t xml:space="preserve"> </w:t>
      </w:r>
      <w:r>
        <w:rPr>
          <w:rFonts w:ascii="Times New Roman" w:hAnsi="Times New Roman"/>
          <w:color w:val="000000"/>
          <w:sz w:val="24"/>
        </w:rPr>
        <w:t>attached hereto.</w:t>
      </w:r>
    </w:p>
    <w:p>
      <w:pPr>
        <w:pStyle w:val="TextBody"/>
        <w:bidi w:val="0"/>
        <w:spacing w:before="235" w:after="283"/>
        <w:ind w:left="1440" w:right="360" w:hanging="0"/>
        <w:jc w:val="left"/>
        <w:rPr>
          <w:rFonts w:ascii="Times New Roman" w:hAnsi="Times New Roman"/>
          <w:color w:val="000000"/>
          <w:sz w:val="24"/>
        </w:rPr>
      </w:pPr>
      <w:r>
        <w:rPr>
          <w:rFonts w:ascii="Times New Roman" w:hAnsi="Times New Roman"/>
          <w:color w:val="000000"/>
          <w:sz w:val="24"/>
        </w:rPr>
        <w:t>(iii)</w:t>
      </w:r>
    </w:p>
    <w:p>
      <w:pPr>
        <w:pStyle w:val="TextBody"/>
        <w:bidi w:val="0"/>
        <w:spacing w:before="235" w:after="283"/>
        <w:jc w:val="left"/>
        <w:rPr/>
      </w:pPr>
      <w:r>
        <w:rPr>
          <w:rFonts w:ascii="Times New Roman" w:hAnsi="Times New Roman"/>
          <w:color w:val="000000"/>
          <w:sz w:val="24"/>
          <w:u w:val="single"/>
        </w:rPr>
        <w:t>Exhibit 1.6</w:t>
      </w:r>
      <w:r>
        <w:rPr>
          <w:color w:val="000000"/>
        </w:rPr>
        <w:t xml:space="preserve"> </w:t>
      </w:r>
      <w:r>
        <w:rPr>
          <w:rFonts w:ascii="Times New Roman" w:hAnsi="Times New Roman"/>
          <w:color w:val="000000"/>
          <w:sz w:val="24"/>
        </w:rPr>
        <w:t xml:space="preserve">(ADC Marks) is hereby deleted in its entirety and replaced with </w:t>
      </w:r>
      <w:r>
        <w:rPr>
          <w:rFonts w:ascii="Times New Roman" w:hAnsi="Times New Roman"/>
          <w:color w:val="000000"/>
          <w:sz w:val="24"/>
          <w:u w:val="single"/>
        </w:rPr>
        <w:t>Exhibit 1.6</w:t>
      </w:r>
      <w:r>
        <w:rPr>
          <w:color w:val="000000"/>
        </w:rPr>
        <w:t xml:space="preserve"> </w:t>
      </w:r>
      <w:r>
        <w:rPr>
          <w:rFonts w:ascii="Times New Roman" w:hAnsi="Times New Roman"/>
          <w:color w:val="000000"/>
          <w:sz w:val="24"/>
        </w:rPr>
        <w:t>attached hereto.</w:t>
      </w:r>
    </w:p>
    <w:p>
      <w:pPr>
        <w:pStyle w:val="TextBody"/>
        <w:bidi w:val="0"/>
        <w:spacing w:before="235" w:after="283"/>
        <w:ind w:left="1440" w:right="360" w:hanging="0"/>
        <w:jc w:val="left"/>
        <w:rPr>
          <w:rFonts w:ascii="Times New Roman" w:hAnsi="Times New Roman"/>
          <w:color w:val="000000"/>
          <w:sz w:val="24"/>
        </w:rPr>
      </w:pPr>
      <w:r>
        <w:rPr>
          <w:rFonts w:ascii="Times New Roman" w:hAnsi="Times New Roman"/>
          <w:color w:val="000000"/>
          <w:sz w:val="24"/>
        </w:rPr>
        <w:t>(iv)</w:t>
      </w:r>
    </w:p>
    <w:p>
      <w:pPr>
        <w:pStyle w:val="TextBody"/>
        <w:bidi w:val="0"/>
        <w:spacing w:before="235" w:after="283"/>
        <w:jc w:val="left"/>
        <w:rPr>
          <w:rFonts w:ascii="Times New Roman" w:hAnsi="Times New Roman"/>
          <w:color w:val="000000"/>
          <w:sz w:val="24"/>
        </w:rPr>
      </w:pPr>
      <w:r>
        <w:rPr>
          <w:rFonts w:ascii="Times New Roman" w:hAnsi="Times New Roman"/>
          <w:color w:val="000000"/>
          <w:sz w:val="24"/>
        </w:rPr>
        <w:t>The definition set forth in Section 1.25 (Beta Infusion Pump) is hereby deleted in its entirety and replaced with the following:</w:t>
      </w:r>
    </w:p>
    <w:p>
      <w:pPr>
        <w:pStyle w:val="TextBody"/>
        <w:bidi w:val="0"/>
        <w:spacing w:before="234" w:after="283"/>
        <w:ind w:left="2161" w:right="351" w:hanging="0"/>
        <w:jc w:val="both"/>
        <w:rPr>
          <w:rFonts w:ascii="Times New Roman" w:hAnsi="Times New Roman"/>
          <w:sz w:val="20"/>
        </w:rPr>
      </w:pPr>
      <w:r>
        <w:rPr>
          <w:rFonts w:ascii="Times New Roman" w:hAnsi="Times New Roman"/>
          <w:color w:val="000000"/>
          <w:sz w:val="24"/>
        </w:rPr>
        <w:t>1.23 “</w:t>
      </w:r>
      <w:r>
        <w:rPr>
          <w:rFonts w:ascii="Times New Roman" w:hAnsi="Times New Roman"/>
          <w:color w:val="000000"/>
          <w:sz w:val="24"/>
          <w:u w:val="single"/>
        </w:rPr>
        <w:t>Beta Infusion Pump</w:t>
      </w:r>
      <w:r>
        <w:rPr>
          <w:rFonts w:ascii="Times New Roman" w:hAnsi="Times New Roman"/>
          <w:color w:val="000000"/>
          <w:sz w:val="20"/>
        </w:rPr>
        <w:t xml:space="preserve">” </w:t>
      </w:r>
      <w:r>
        <w:rPr>
          <w:rFonts w:ascii="Times New Roman" w:hAnsi="Times New Roman"/>
          <w:color w:val="000000"/>
          <w:sz w:val="24"/>
        </w:rPr>
        <w:t>means a subcutaneous infusion pump that is ACE (Alternate Controller-Enabled) designated and capable of infusing one or more hormones to manage blood glucose, including insulin, including (a) the pump referred to by Beta as of the Third Amendment Effective Date as the iLet insulin pump and (b) the Mint Pump.</w:t>
      </w:r>
    </w:p>
    <w:p>
      <w:pPr>
        <w:pStyle w:val="TextBody"/>
        <w:bidi w:val="0"/>
        <w:spacing w:before="234" w:after="283"/>
        <w:ind w:left="2161" w:right="351" w:hanging="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234" w:after="283"/>
        <w:ind w:left="1440" w:right="360" w:hanging="0"/>
        <w:jc w:val="left"/>
        <w:rPr>
          <w:rFonts w:ascii="Times New Roman" w:hAnsi="Times New Roman"/>
          <w:color w:val="000000"/>
          <w:sz w:val="24"/>
        </w:rPr>
      </w:pPr>
      <w:r>
        <w:rPr>
          <w:rFonts w:ascii="Times New Roman" w:hAnsi="Times New Roman"/>
          <w:color w:val="000000"/>
          <w:sz w:val="24"/>
        </w:rPr>
        <w:t>(v)</w:t>
      </w:r>
    </w:p>
    <w:p>
      <w:pPr>
        <w:pStyle w:val="TextBody"/>
        <w:bidi w:val="0"/>
        <w:spacing w:before="234" w:after="283"/>
        <w:jc w:val="left"/>
        <w:rPr/>
      </w:pPr>
      <w:r>
        <w:rPr>
          <w:rFonts w:ascii="Times New Roman" w:hAnsi="Times New Roman"/>
          <w:color w:val="000000"/>
          <w:sz w:val="24"/>
        </w:rPr>
        <w:t xml:space="preserve">The definition set forth in </w:t>
      </w:r>
      <w:r>
        <w:rPr>
          <w:rFonts w:ascii="Times New Roman" w:hAnsi="Times New Roman"/>
          <w:color w:val="000000"/>
          <w:sz w:val="24"/>
          <w:u w:val="single"/>
        </w:rPr>
        <w:t>Section 1.26</w:t>
      </w:r>
      <w:r>
        <w:rPr>
          <w:color w:val="000000"/>
        </w:rPr>
        <w:t xml:space="preserve"> </w:t>
      </w:r>
      <w:r>
        <w:rPr>
          <w:rFonts w:ascii="Times New Roman" w:hAnsi="Times New Roman"/>
          <w:color w:val="000000"/>
          <w:sz w:val="24"/>
        </w:rPr>
        <w:t>(Beta System) is hereby deleted in its entirety and replaced with the following:</w:t>
      </w:r>
    </w:p>
    <w:p>
      <w:pPr>
        <w:pStyle w:val="TextBody"/>
        <w:bidi w:val="0"/>
        <w:spacing w:before="235" w:after="283"/>
        <w:ind w:left="2161" w:right="352" w:hanging="0"/>
        <w:jc w:val="both"/>
        <w:rPr>
          <w:rFonts w:ascii="Times New Roman" w:hAnsi="Times New Roman"/>
          <w:sz w:val="20"/>
        </w:rPr>
      </w:pPr>
      <w:r>
        <w:rPr>
          <w:rFonts w:ascii="Times New Roman" w:hAnsi="Times New Roman"/>
          <w:color w:val="000000"/>
          <w:sz w:val="24"/>
        </w:rPr>
        <w:t>1.26 “</w:t>
      </w:r>
      <w:r>
        <w:rPr>
          <w:rFonts w:ascii="Times New Roman" w:hAnsi="Times New Roman"/>
          <w:color w:val="000000"/>
          <w:sz w:val="24"/>
          <w:u w:val="single"/>
        </w:rPr>
        <w:t>Beta System</w:t>
      </w:r>
      <w:r>
        <w:rPr>
          <w:rFonts w:ascii="Times New Roman" w:hAnsi="Times New Roman"/>
          <w:color w:val="000000"/>
          <w:sz w:val="20"/>
        </w:rPr>
        <w:t xml:space="preserve">” </w:t>
      </w:r>
      <w:r>
        <w:rPr>
          <w:rFonts w:ascii="Times New Roman" w:hAnsi="Times New Roman"/>
          <w:color w:val="000000"/>
          <w:sz w:val="24"/>
        </w:rPr>
        <w:t>means a subcutaneous insulin infusion delivery system that is comprised of the following components that are all designed, developed and manufactured by, or on behalf of, or otherwise owned or Controlled by Beta: (a) a Beta Infusion Pump; (b) the Beta Automated Dosing Sub-System; and (c) either (i) a Beta Display Device (it being understood that such Beta Display Device may or may not reside directly on the Beta Infusion Pump), Beta Companion App, and Beta Cloud, or (ii) the Beta App Controller . Notwithstanding anything to the contrary herein, the Beta System shall not include a connected or “smart” pen, software, or app that is used for dosing decision-making for multiple-daily injections of insulin or other drug delivery for diabetes. The Beta System expressly excludes the CGM System.</w:t>
      </w:r>
    </w:p>
    <w:p>
      <w:pPr>
        <w:pStyle w:val="TextBody"/>
        <w:bidi w:val="0"/>
        <w:spacing w:before="246" w:after="283"/>
        <w:ind w:left="720" w:right="0" w:hanging="0"/>
        <w:jc w:val="left"/>
        <w:rPr>
          <w:rFonts w:ascii="Times New Roman" w:hAnsi="Times New Roman"/>
          <w:color w:val="000000"/>
          <w:sz w:val="24"/>
        </w:rPr>
      </w:pPr>
      <w:r>
        <w:rPr>
          <w:rFonts w:ascii="Times New Roman" w:hAnsi="Times New Roman"/>
          <w:color w:val="000000"/>
          <w:sz w:val="24"/>
        </w:rPr>
        <w:t>(b)</w:t>
      </w:r>
    </w:p>
    <w:p>
      <w:pPr>
        <w:pStyle w:val="TextBody"/>
        <w:bidi w:val="0"/>
        <w:spacing w:before="246" w:after="283"/>
        <w:jc w:val="left"/>
        <w:rPr/>
      </w:pPr>
      <w:r>
        <w:rPr>
          <w:rFonts w:ascii="Times New Roman" w:hAnsi="Times New Roman"/>
          <w:color w:val="000000"/>
          <w:sz w:val="24"/>
          <w:u w:val="single"/>
        </w:rPr>
        <w:t>Development Program and Regulatory Matters</w:t>
      </w:r>
      <w:r>
        <w:rPr>
          <w:rFonts w:ascii="Times New Roman" w:hAnsi="Times New Roman"/>
          <w:color w:val="000000"/>
          <w:sz w:val="24"/>
        </w:rPr>
        <w:t>.</w:t>
      </w:r>
    </w:p>
    <w:p>
      <w:pPr>
        <w:pStyle w:val="TextBody"/>
        <w:bidi w:val="0"/>
        <w:spacing w:before="233" w:after="283"/>
        <w:ind w:left="1440" w:right="360" w:hanging="0"/>
        <w:jc w:val="left"/>
        <w:rPr>
          <w:rFonts w:ascii="Times New Roman" w:hAnsi="Times New Roman"/>
          <w:color w:val="000000"/>
          <w:sz w:val="24"/>
        </w:rPr>
      </w:pPr>
      <w:r>
        <w:rPr>
          <w:rFonts w:ascii="Times New Roman" w:hAnsi="Times New Roman"/>
          <w:color w:val="000000"/>
          <w:sz w:val="24"/>
        </w:rPr>
        <w:t>(i)</w:t>
      </w:r>
    </w:p>
    <w:p>
      <w:pPr>
        <w:pStyle w:val="TextBody"/>
        <w:bidi w:val="0"/>
        <w:spacing w:before="233" w:after="283"/>
        <w:jc w:val="left"/>
        <w:rPr>
          <w:rFonts w:ascii="Times New Roman" w:hAnsi="Times New Roman"/>
          <w:color w:val="000000"/>
          <w:sz w:val="24"/>
        </w:rPr>
      </w:pPr>
      <w:r>
        <w:rPr>
          <w:rFonts w:ascii="Times New Roman" w:hAnsi="Times New Roman"/>
          <w:color w:val="000000"/>
          <w:sz w:val="24"/>
        </w:rPr>
        <w:t>Section 3.1(a) is hereby deleted in its entirety and replaced with the following:</w:t>
      </w:r>
    </w:p>
    <w:p>
      <w:pPr>
        <w:pStyle w:val="TextBody"/>
        <w:bidi w:val="0"/>
        <w:spacing w:before="224" w:after="283"/>
        <w:ind w:left="2160" w:right="346"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224" w:after="283"/>
        <w:jc w:val="both"/>
        <w:rPr/>
      </w:pPr>
      <w:r>
        <w:rPr>
          <w:rFonts w:ascii="Times New Roman" w:hAnsi="Times New Roman"/>
          <w:color w:val="000000"/>
          <w:sz w:val="24"/>
        </w:rPr>
        <w:t>The Parties agreed upon a development plan covering each Party’s responsibilities in developing the Libre-Beta System, and the Parties negotiated an updated version of such development plan to cover the addition of the DGK Sensor (such development plan, as updated, the “</w:t>
      </w:r>
      <w:r>
        <w:rPr>
          <w:rFonts w:ascii="Times New Roman" w:hAnsi="Times New Roman"/>
          <w:color w:val="000000"/>
          <w:sz w:val="24"/>
          <w:u w:val="single"/>
        </w:rPr>
        <w:t>Development Plan</w:t>
      </w:r>
      <w:r>
        <w:rPr>
          <w:color w:val="000000"/>
        </w:rPr>
        <w:t>”</w:t>
      </w:r>
      <w:r>
        <w:rPr>
          <w:rFonts w:ascii="Times New Roman" w:hAnsi="Times New Roman"/>
          <w:color w:val="000000"/>
          <w:sz w:val="24"/>
        </w:rPr>
        <w:t>). Each Party shall keep the JSC informed and updated regarding its conduct of the Development Plan. The final architecture of the Libre-Beta System shall be mutually agreed by the Parties through the JSC.</w:t>
      </w:r>
    </w:p>
    <w:p>
      <w:pPr>
        <w:pStyle w:val="TextBody"/>
        <w:bidi w:val="0"/>
        <w:spacing w:before="241" w:after="283"/>
        <w:ind w:left="2161" w:right="349" w:hanging="0"/>
        <w:jc w:val="both"/>
        <w:rPr>
          <w:rFonts w:ascii="Times New Roman" w:hAnsi="Times New Roman"/>
          <w:color w:val="000000"/>
          <w:sz w:val="24"/>
        </w:rPr>
      </w:pPr>
      <w:r>
        <w:rPr>
          <w:rFonts w:ascii="Times New Roman" w:hAnsi="Times New Roman"/>
          <w:color w:val="000000"/>
          <w:sz w:val="24"/>
        </w:rPr>
        <w:t>The Parties shall negotiate in good faith and present to the JSC for approval within thirty (30) days after the Third Amendment Effective Date a development plan that (i) covers the integration of the Mint Pump and iOS and Android versions of the Beta App Controller into the Libre-Beta System and (ii) provides for the launch of an iOS version of the Beta App Controller, an Android version of the Beta App Controller, and the Mint Pump that are each interoperable with FreeStyle Libre 3 Sensors and DGK Sensors by October 1, 2026, which development plan shall be considered as part of the Development Plan. If the Parties are unable to reach agreement on a draft development plan for the Beta App Controller and Mint Pump for submission to the JSC within such thirty (30)-day period, then either Party may refer the matter to the JSC for resolution at its next meeting. If the JSC is unable to resolve the matter within thirty (30) days after its next meeting, either Party may refer the matter to the Senior Officers for resolution pursuant to Section 2.5.</w:t>
      </w:r>
    </w:p>
    <w:p>
      <w:pPr>
        <w:pStyle w:val="TextBody"/>
        <w:bidi w:val="0"/>
        <w:spacing w:before="233" w:after="283"/>
        <w:ind w:left="1440" w:right="360" w:hanging="0"/>
        <w:jc w:val="left"/>
        <w:rPr>
          <w:rFonts w:ascii="Times New Roman" w:hAnsi="Times New Roman"/>
          <w:color w:val="000000"/>
          <w:sz w:val="24"/>
        </w:rPr>
      </w:pPr>
      <w:r>
        <w:rPr>
          <w:rFonts w:ascii="Times New Roman" w:hAnsi="Times New Roman"/>
          <w:color w:val="000000"/>
          <w:sz w:val="24"/>
        </w:rPr>
        <w:t>(ii)</w:t>
      </w:r>
    </w:p>
    <w:p>
      <w:pPr>
        <w:pStyle w:val="TextBody"/>
        <w:bidi w:val="0"/>
        <w:spacing w:before="233" w:after="283"/>
        <w:jc w:val="left"/>
        <w:rPr>
          <w:rFonts w:ascii="Times New Roman" w:hAnsi="Times New Roman"/>
          <w:color w:val="000000"/>
          <w:sz w:val="24"/>
        </w:rPr>
      </w:pPr>
      <w:r>
        <w:rPr>
          <w:rFonts w:ascii="Times New Roman" w:hAnsi="Times New Roman"/>
          <w:color w:val="000000"/>
          <w:sz w:val="24"/>
        </w:rPr>
        <w:t>Section 3.1(b) is hereby deleted in its entirety and replaced with the following:</w:t>
      </w:r>
    </w:p>
    <w:p>
      <w:pPr>
        <w:pStyle w:val="TextBody"/>
        <w:bidi w:val="0"/>
        <w:spacing w:before="224" w:after="283"/>
        <w:ind w:left="2160" w:right="360" w:hanging="0"/>
        <w:jc w:val="both"/>
        <w:rPr>
          <w:rFonts w:ascii="Times New Roman" w:hAnsi="Times New Roman"/>
          <w:color w:val="000000"/>
          <w:sz w:val="24"/>
        </w:rPr>
      </w:pPr>
      <w:r>
        <w:rPr>
          <w:rFonts w:ascii="Times New Roman" w:hAnsi="Times New Roman"/>
          <w:color w:val="000000"/>
          <w:sz w:val="24"/>
        </w:rPr>
        <w:t>(b)</w:t>
      </w:r>
    </w:p>
    <w:p>
      <w:pPr>
        <w:pStyle w:val="TextBody"/>
        <w:bidi w:val="0"/>
        <w:spacing w:before="224" w:after="283"/>
        <w:jc w:val="both"/>
        <w:rPr>
          <w:rFonts w:ascii="Times New Roman" w:hAnsi="Times New Roman"/>
          <w:color w:val="000000"/>
          <w:sz w:val="24"/>
        </w:rPr>
      </w:pPr>
      <w:r>
        <w:rPr>
          <w:rFonts w:ascii="Times New Roman" w:hAnsi="Times New Roman"/>
          <w:color w:val="000000"/>
          <w:sz w:val="24"/>
        </w:rPr>
        <w:t xml:space="preserve">The Development Plan may be amended by the JSC to include or change roles, responsibilities and timelines for any technical work required for development of the Libre-Beta System. In the event the JSC is unable to reach agreement on any proposed update to the Development Plan, such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224" w:after="283"/>
        <w:ind w:left="2160" w:right="360" w:hanging="0"/>
        <w:jc w:val="both"/>
        <w:rPr>
          <w:rFonts w:ascii="Times New Roman" w:hAnsi="Times New Roman"/>
          <w:color w:val="000000"/>
          <w:sz w:val="24"/>
        </w:rPr>
      </w:pPr>
      <w:r>
        <w:rPr>
          <w:rFonts w:ascii="Times New Roman" w:hAnsi="Times New Roman"/>
          <w:color w:val="000000"/>
          <w:sz w:val="24"/>
        </w:rPr>
        <w:t>dispute shall be resolved in accordance with the terms of Section 2.5.</w:t>
      </w:r>
    </w:p>
    <w:p>
      <w:pPr>
        <w:pStyle w:val="TextBody"/>
        <w:bidi w:val="0"/>
        <w:spacing w:before="243" w:after="283"/>
        <w:ind w:left="1440" w:right="360" w:hanging="0"/>
        <w:jc w:val="left"/>
        <w:rPr>
          <w:rFonts w:ascii="Times New Roman" w:hAnsi="Times New Roman"/>
          <w:color w:val="000000"/>
          <w:sz w:val="24"/>
        </w:rPr>
      </w:pPr>
      <w:r>
        <w:rPr>
          <w:rFonts w:ascii="Times New Roman" w:hAnsi="Times New Roman"/>
          <w:color w:val="000000"/>
          <w:sz w:val="24"/>
        </w:rPr>
        <w:t>(iii)</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Section 3.4(a) is hereby deleted in its entirety and replaced with the following:</w:t>
      </w:r>
    </w:p>
    <w:p>
      <w:pPr>
        <w:pStyle w:val="TextBody"/>
        <w:bidi w:val="0"/>
        <w:spacing w:before="235" w:after="283"/>
        <w:ind w:left="2160" w:right="346"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235" w:after="283"/>
        <w:jc w:val="both"/>
        <w:rPr/>
      </w:pPr>
      <w:r>
        <w:rPr>
          <w:rFonts w:ascii="Times New Roman" w:hAnsi="Times New Roman"/>
          <w:color w:val="000000"/>
          <w:sz w:val="24"/>
        </w:rPr>
        <w:t>The Parties agreed upon a regulatory plan for the Libre-Beta System, which plan is consistent with the terms of this Section 3.4 and includes provisions for (i) regulatory governance, (ii) clarification of Beta’s right to reference ADC regulatory filings, (iii) regulatory matters, including potential clinical trials to be conducted by either Party, and (iv) detailed responsibilities covering coordinated efforts related to regulatory communications for each Party’s technologies as may impact the Libre-Beta System (“</w:t>
      </w:r>
      <w:r>
        <w:rPr>
          <w:rFonts w:ascii="Times New Roman" w:hAnsi="Times New Roman"/>
          <w:color w:val="000000"/>
          <w:sz w:val="24"/>
          <w:u w:val="single"/>
        </w:rPr>
        <w:t>Regulatory Plan</w:t>
      </w:r>
      <w:r>
        <w:rPr>
          <w:color w:val="000000"/>
        </w:rPr>
        <w:t>”</w:t>
      </w:r>
      <w:r>
        <w:rPr>
          <w:rFonts w:ascii="Times New Roman" w:hAnsi="Times New Roman"/>
          <w:color w:val="000000"/>
          <w:sz w:val="24"/>
        </w:rPr>
        <w:t>). Subject to the terms of this Agreement, each Party shall use Commercially Reasonable Efforts to complete the activities assigned to it in the Regulatory Plan.</w:t>
      </w:r>
    </w:p>
    <w:p>
      <w:pPr>
        <w:pStyle w:val="TextBody"/>
        <w:bidi w:val="0"/>
        <w:spacing w:before="241" w:after="283"/>
        <w:ind w:left="2161" w:right="350" w:hanging="0"/>
        <w:jc w:val="both"/>
        <w:rPr>
          <w:rFonts w:ascii="Times New Roman" w:hAnsi="Times New Roman"/>
          <w:color w:val="000000"/>
          <w:sz w:val="24"/>
        </w:rPr>
      </w:pPr>
      <w:r>
        <w:rPr>
          <w:rFonts w:ascii="Times New Roman" w:hAnsi="Times New Roman"/>
          <w:color w:val="000000"/>
          <w:sz w:val="24"/>
        </w:rPr>
        <w:t>The Parties shall negotiate in good faith and present to the JSC for approval within thirty (30) days after the Third Amendment Effective Date a regulatory plan that covers the integration of the Beta App Controller and Mint Pump into the Libre-Beta System in accordance with the Development Plan, which regulatory plan shall be considered as part of the Regulatory Plan. If the Parties are unable to reach agreement on a draft regulatory plan for the Beta App Controller and Mint Pump for submission to the JSC within such thirty (30)-day period, either Party may refer the matter to the JSC for resolution at its next meeting. If the JSC is unable to resolve the dispute within thirty (30) days after its next meeting, either Party may refer the matter to the Senior Officers for resolution pursuant to Section 2.5.</w:t>
      </w:r>
    </w:p>
    <w:p>
      <w:pPr>
        <w:pStyle w:val="TextBody"/>
        <w:bidi w:val="0"/>
        <w:spacing w:before="239" w:after="283"/>
        <w:ind w:left="1440" w:right="360" w:hanging="0"/>
        <w:jc w:val="left"/>
        <w:rPr>
          <w:rFonts w:ascii="Times New Roman" w:hAnsi="Times New Roman"/>
          <w:color w:val="000000"/>
          <w:sz w:val="24"/>
        </w:rPr>
      </w:pPr>
      <w:r>
        <w:rPr>
          <w:rFonts w:ascii="Times New Roman" w:hAnsi="Times New Roman"/>
          <w:color w:val="000000"/>
          <w:sz w:val="24"/>
        </w:rPr>
        <w:t>(iv)</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Section 3.2(c) is hereby deleted in its entirety and replaced with the following:</w:t>
      </w:r>
    </w:p>
    <w:p>
      <w:pPr>
        <w:pStyle w:val="TextBody"/>
        <w:bidi w:val="0"/>
        <w:spacing w:before="223" w:after="283"/>
        <w:ind w:left="2160" w:right="360" w:hanging="0"/>
        <w:jc w:val="both"/>
        <w:rPr>
          <w:rFonts w:ascii="Times New Roman" w:hAnsi="Times New Roman"/>
          <w:color w:val="000000"/>
          <w:sz w:val="24"/>
        </w:rPr>
      </w:pPr>
      <w:r>
        <w:rPr>
          <w:rFonts w:ascii="Times New Roman" w:hAnsi="Times New Roman"/>
          <w:color w:val="000000"/>
          <w:sz w:val="24"/>
        </w:rPr>
        <w:t>(c)</w:t>
      </w:r>
    </w:p>
    <w:p>
      <w:pPr>
        <w:pStyle w:val="TextBody"/>
        <w:bidi w:val="0"/>
        <w:spacing w:before="223" w:after="283"/>
        <w:jc w:val="both"/>
        <w:rPr>
          <w:rFonts w:ascii="Times New Roman" w:hAnsi="Times New Roman"/>
          <w:color w:val="000000"/>
          <w:sz w:val="24"/>
        </w:rPr>
      </w:pPr>
      <w:r>
        <w:rPr>
          <w:rFonts w:ascii="Times New Roman" w:hAnsi="Times New Roman"/>
          <w:color w:val="000000"/>
          <w:sz w:val="24"/>
        </w:rPr>
        <w:t>Beta shall provide reasonable assistance to ADC to the extent necessary to enable Libre-Beta User Data, Beta System Data, and CGM Data to be viewed on LibreView to the extent permitted by Applicable Law. Beta shall require each user of a Libre-Beta System who creates, or signs into, a Beta Cloud account or a Beta App Controller account, to link such Beta Cloud account or Beta App Controller account to the user’s LibreView account, prior to the first pairing of a CGM System with the Libre-Beta System. In addition, Beta shall provide ADC the Beta CID Documentation and such other assistance as may be needed for Libre-Beta System users to transfer Libre-Beta User Data, CGM Data, and Beta System Data into LibreView via a micro-USB and API.</w:t>
      </w:r>
    </w:p>
    <w:p>
      <w:pPr>
        <w:pStyle w:val="TextBody"/>
        <w:bidi w:val="0"/>
        <w:spacing w:before="240" w:after="283"/>
        <w:ind w:left="1440" w:right="360" w:hanging="0"/>
        <w:jc w:val="left"/>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Section 3.2(d) is hereby deleted in its entirety and replaced with the following:</w:t>
      </w:r>
    </w:p>
    <w:p>
      <w:pPr>
        <w:pStyle w:val="TextBody"/>
        <w:bidi w:val="0"/>
        <w:spacing w:before="235" w:after="283"/>
        <w:ind w:left="2160" w:right="346" w:hanging="0"/>
        <w:jc w:val="both"/>
        <w:rPr>
          <w:rFonts w:ascii="Times New Roman" w:hAnsi="Times New Roman"/>
          <w:color w:val="000000"/>
          <w:sz w:val="24"/>
        </w:rPr>
      </w:pPr>
      <w:r>
        <w:rPr>
          <w:rFonts w:ascii="Times New Roman" w:hAnsi="Times New Roman"/>
          <w:color w:val="000000"/>
          <w:sz w:val="24"/>
        </w:rPr>
        <w:t>(d)</w:t>
      </w:r>
    </w:p>
    <w:p>
      <w:pPr>
        <w:pStyle w:val="TextBody"/>
        <w:bidi w:val="0"/>
        <w:spacing w:before="235" w:after="283"/>
        <w:jc w:val="both"/>
        <w:rPr>
          <w:rFonts w:ascii="Times New Roman" w:hAnsi="Times New Roman"/>
          <w:color w:val="000000"/>
          <w:sz w:val="24"/>
        </w:rPr>
      </w:pPr>
      <w:r>
        <w:rPr>
          <w:rFonts w:ascii="Times New Roman" w:hAnsi="Times New Roman"/>
          <w:color w:val="000000"/>
          <w:sz w:val="24"/>
        </w:rPr>
        <w:t>Beta shall ensure that its Beta Cloud and Beta App Controller distinguishes the CGM Data from any other non-ADC glucose data (including such data from both continuous glucose monitors and blood glucose meters) in a manner that prevents co-mingling of such data or the Processing or Disclosure of CGM Data in a manner prohibited by Article IX.</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245" w:after="283"/>
        <w:ind w:left="720" w:right="0" w:hanging="0"/>
        <w:jc w:val="left"/>
        <w:rPr>
          <w:rFonts w:ascii="Times New Roman" w:hAnsi="Times New Roman"/>
          <w:color w:val="000000"/>
          <w:sz w:val="24"/>
        </w:rPr>
      </w:pPr>
      <w:r>
        <w:rPr>
          <w:rFonts w:ascii="Times New Roman" w:hAnsi="Times New Roman"/>
          <w:color w:val="000000"/>
          <w:sz w:val="24"/>
        </w:rPr>
        <w:t>(c)</w:t>
      </w:r>
    </w:p>
    <w:p>
      <w:pPr>
        <w:pStyle w:val="TextBody"/>
        <w:bidi w:val="0"/>
        <w:spacing w:before="245" w:after="283"/>
        <w:jc w:val="left"/>
        <w:rPr/>
      </w:pPr>
      <w:r>
        <w:rPr>
          <w:rFonts w:ascii="Times New Roman" w:hAnsi="Times New Roman"/>
          <w:color w:val="000000"/>
          <w:sz w:val="24"/>
          <w:u w:val="single"/>
        </w:rPr>
        <w:t>Confidential Information and Data Use</w:t>
      </w:r>
      <w:r>
        <w:rPr>
          <w:rFonts w:ascii="Times New Roman" w:hAnsi="Times New Roman"/>
          <w:color w:val="000000"/>
          <w:sz w:val="24"/>
        </w:rPr>
        <w:t>.</w:t>
      </w:r>
    </w:p>
    <w:p>
      <w:pPr>
        <w:pStyle w:val="TextBody"/>
        <w:bidi w:val="0"/>
        <w:spacing w:before="234" w:after="283"/>
        <w:ind w:left="1440" w:right="360" w:hanging="0"/>
        <w:jc w:val="left"/>
        <w:rPr>
          <w:rFonts w:ascii="Times New Roman" w:hAnsi="Times New Roman"/>
          <w:color w:val="000000"/>
          <w:sz w:val="24"/>
        </w:rPr>
      </w:pPr>
      <w:r>
        <w:rPr>
          <w:rFonts w:ascii="Times New Roman" w:hAnsi="Times New Roman"/>
          <w:color w:val="000000"/>
          <w:sz w:val="24"/>
        </w:rPr>
        <w:t>(i)</w:t>
      </w:r>
    </w:p>
    <w:p>
      <w:pPr>
        <w:pStyle w:val="TextBody"/>
        <w:bidi w:val="0"/>
        <w:spacing w:before="234" w:after="283"/>
        <w:jc w:val="left"/>
        <w:rPr>
          <w:rFonts w:ascii="Times New Roman" w:hAnsi="Times New Roman"/>
          <w:color w:val="000000"/>
          <w:sz w:val="24"/>
        </w:rPr>
      </w:pPr>
      <w:r>
        <w:rPr>
          <w:rFonts w:ascii="Times New Roman" w:hAnsi="Times New Roman"/>
          <w:color w:val="000000"/>
          <w:sz w:val="24"/>
        </w:rPr>
        <w:t>Section 3.6(e) is hereby deleted in its entirety and replaced with the following:</w:t>
      </w:r>
    </w:p>
    <w:p>
      <w:pPr>
        <w:pStyle w:val="TextBody"/>
        <w:bidi w:val="0"/>
        <w:spacing w:before="223" w:after="283"/>
        <w:ind w:left="2160" w:right="346" w:hanging="0"/>
        <w:jc w:val="both"/>
        <w:rPr>
          <w:rFonts w:ascii="Times New Roman" w:hAnsi="Times New Roman"/>
          <w:color w:val="000000"/>
          <w:sz w:val="24"/>
        </w:rPr>
      </w:pPr>
      <w:r>
        <w:rPr>
          <w:rFonts w:ascii="Times New Roman" w:hAnsi="Times New Roman"/>
          <w:color w:val="000000"/>
          <w:sz w:val="24"/>
        </w:rPr>
        <w:t>(e)</w:t>
      </w:r>
    </w:p>
    <w:p>
      <w:pPr>
        <w:pStyle w:val="TextBody"/>
        <w:bidi w:val="0"/>
        <w:spacing w:before="223" w:after="283"/>
        <w:jc w:val="both"/>
        <w:rPr/>
      </w:pPr>
      <w:r>
        <w:rPr>
          <w:rFonts w:ascii="Times New Roman" w:hAnsi="Times New Roman"/>
          <w:color w:val="000000"/>
          <w:sz w:val="24"/>
        </w:rPr>
        <w:t>Beta represents and warrants that (1) the Beta Companion App shall not access, store, or otherwise process any FreeStyle Libre 3 Plus Security Credentials, DGK Security Credentials or Beta Libre Code and (2) the Beta Display Device and Beta App Controller shall only receive, access, store, transfer or otherwise process the FreeStyle Libre 3 Plus Security Credentials and DGK Security Credentials through a secured BLE channel that is encrypted by Beta Display Device’s firmware or Beta App Controller’s software (as applicable), which maintains Joint Test Action Group (JTAG) readout protection (collectively, “</w:t>
      </w:r>
      <w:r>
        <w:rPr>
          <w:rFonts w:ascii="Times New Roman" w:hAnsi="Times New Roman"/>
          <w:color w:val="000000"/>
          <w:sz w:val="24"/>
          <w:u w:val="single"/>
        </w:rPr>
        <w:t>Beta Protection Technology</w:t>
      </w:r>
      <w:r>
        <w:rPr>
          <w:color w:val="000000"/>
        </w:rPr>
        <w:t>”</w:t>
      </w:r>
      <w:r>
        <w:rPr>
          <w:rFonts w:ascii="Times New Roman" w:hAnsi="Times New Roman"/>
          <w:color w:val="000000"/>
          <w:sz w:val="24"/>
        </w:rPr>
        <w:t>). Before distribution of the Libre-Beta System (or any of its components) to any Third Party (excluding an Approved Person for development purposes hereunder), Beta shall take any steps that ADC, in its sole discretion, deems necessary to (i) protect the FreeStyle Libre 3 Plus Security Credentials and DGK Security Credentials (or any lesser portion thereof to which ADC agrees in writing) using technology provided by either whiteCryption or an alternate software protection which is substantially similar thereto (the “</w:t>
      </w:r>
      <w:r>
        <w:rPr>
          <w:rFonts w:ascii="Times New Roman" w:hAnsi="Times New Roman"/>
          <w:color w:val="000000"/>
          <w:sz w:val="24"/>
          <w:u w:val="single"/>
        </w:rPr>
        <w:t>Software Protection Provider</w:t>
      </w:r>
      <w:r>
        <w:rPr>
          <w:color w:val="000000"/>
        </w:rPr>
        <w:t>”</w:t>
      </w:r>
      <w:r>
        <w:rPr>
          <w:rFonts w:ascii="Times New Roman" w:hAnsi="Times New Roman"/>
          <w:color w:val="000000"/>
          <w:sz w:val="24"/>
        </w:rPr>
        <w:t>), including the Beta Protection Technology, (ii) obtain, at Beta’s sole expense, any necessary licenses from the Software Protection Provider and (iii) protect the Beta Libre Code in a reasonable manner.</w:t>
      </w:r>
    </w:p>
    <w:p>
      <w:pPr>
        <w:pStyle w:val="TextBody"/>
        <w:bidi w:val="0"/>
        <w:spacing w:before="230" w:after="283"/>
        <w:ind w:left="1440" w:right="360" w:hanging="0"/>
        <w:jc w:val="left"/>
        <w:rPr>
          <w:rFonts w:ascii="Times New Roman" w:hAnsi="Times New Roman"/>
          <w:color w:val="000000"/>
          <w:sz w:val="24"/>
        </w:rPr>
      </w:pPr>
      <w:r>
        <w:rPr>
          <w:rFonts w:ascii="Times New Roman" w:hAnsi="Times New Roman"/>
          <w:color w:val="000000"/>
          <w:sz w:val="24"/>
        </w:rPr>
        <w:t>(ii)</w:t>
      </w:r>
    </w:p>
    <w:p>
      <w:pPr>
        <w:pStyle w:val="TextBody"/>
        <w:bidi w:val="0"/>
        <w:spacing w:before="230" w:after="283"/>
        <w:jc w:val="left"/>
        <w:rPr>
          <w:rFonts w:ascii="Times New Roman" w:hAnsi="Times New Roman"/>
          <w:color w:val="000000"/>
          <w:sz w:val="24"/>
        </w:rPr>
      </w:pPr>
      <w:r>
        <w:rPr>
          <w:rFonts w:ascii="Times New Roman" w:hAnsi="Times New Roman"/>
          <w:color w:val="000000"/>
          <w:sz w:val="24"/>
        </w:rPr>
        <w:t>Section 9.2(b) is hereby deleted in its entirety and replaced with the following:</w:t>
      </w:r>
    </w:p>
    <w:p>
      <w:pPr>
        <w:pStyle w:val="TextBody"/>
        <w:bidi w:val="0"/>
        <w:spacing w:before="224" w:after="283"/>
        <w:ind w:left="2161" w:right="349" w:hanging="0"/>
        <w:jc w:val="both"/>
        <w:rPr>
          <w:rFonts w:ascii="Times New Roman" w:hAnsi="Times New Roman"/>
          <w:color w:val="000000"/>
          <w:sz w:val="24"/>
        </w:rPr>
      </w:pPr>
      <w:r>
        <w:rPr>
          <w:rFonts w:ascii="Times New Roman" w:hAnsi="Times New Roman"/>
          <w:color w:val="000000"/>
          <w:sz w:val="24"/>
        </w:rPr>
        <w:t>(b) The Libre-Beta System will Process CGM Data, Beta System Data, and Libre-Beta User Data and transfer such data to and among the components of the Libre-Beta System and to (i) LibreView and (ii) with respect to the Beta Display Device, Beta Cloud. To enable the Processing of CGM Data, Beta System Data, and Libre-Beta User Data by the Libre-Beta System, each Libre-Beta System user must be required to create a user account with each of (A) LibreView and (B) Beta Companion App or Beta Cloud or Beta App Controller, and Consent to share data from Beta’s Companion App or Beta Cloud or Beta App Controller to LibreView. Until such time as cloud-to-cloud data sharing is enabled, Beta shall not require a Libre-Beta System user to create an account with LibreView prior to using such Libre-Beta System and the Beta Companion App or Beta Cloud or Beta App Controller.</w:t>
      </w:r>
    </w:p>
    <w:p>
      <w:pPr>
        <w:pStyle w:val="TextBody"/>
        <w:bidi w:val="0"/>
        <w:spacing w:before="246" w:after="283"/>
        <w:ind w:left="720" w:right="0" w:hanging="0"/>
        <w:jc w:val="left"/>
        <w:rPr>
          <w:rFonts w:ascii="Times New Roman" w:hAnsi="Times New Roman"/>
          <w:color w:val="000000"/>
          <w:sz w:val="24"/>
        </w:rPr>
      </w:pPr>
      <w:r>
        <w:rPr>
          <w:rFonts w:ascii="Times New Roman" w:hAnsi="Times New Roman"/>
          <w:color w:val="000000"/>
          <w:sz w:val="24"/>
        </w:rPr>
        <w:t>(d)</w:t>
      </w:r>
    </w:p>
    <w:p>
      <w:pPr>
        <w:pStyle w:val="TextBody"/>
        <w:bidi w:val="0"/>
        <w:spacing w:before="246" w:after="283"/>
        <w:jc w:val="left"/>
        <w:rPr>
          <w:rFonts w:ascii="Times New Roman" w:hAnsi="Times New Roman"/>
          <w:color w:val="000000"/>
          <w:sz w:val="24"/>
        </w:rPr>
      </w:pPr>
      <w:r>
        <w:rPr>
          <w:rFonts w:ascii="Times New Roman" w:hAnsi="Times New Roman"/>
          <w:color w:val="000000"/>
          <w:sz w:val="24"/>
        </w:rPr>
        <w:t>The following is hereby added to the end of Section 6.2(a):</w:t>
      </w:r>
    </w:p>
    <w:p>
      <w:pPr>
        <w:pStyle w:val="TextBody"/>
        <w:bidi w:val="0"/>
        <w:spacing w:before="232" w:after="283"/>
        <w:ind w:left="1440" w:right="346" w:hanging="0"/>
        <w:jc w:val="both"/>
        <w:rPr>
          <w:rFonts w:ascii="Times New Roman" w:hAnsi="Times New Roman"/>
          <w:color w:val="000000"/>
          <w:sz w:val="24"/>
        </w:rPr>
      </w:pPr>
      <w:r>
        <w:rPr>
          <w:rFonts w:ascii="Times New Roman" w:hAnsi="Times New Roman"/>
          <w:color w:val="000000"/>
          <w:sz w:val="24"/>
        </w:rPr>
        <w:t>(i)</w:t>
      </w:r>
    </w:p>
    <w:p>
      <w:pPr>
        <w:pStyle w:val="TextBody"/>
        <w:bidi w:val="0"/>
        <w:spacing w:before="232" w:after="283"/>
        <w:jc w:val="both"/>
        <w:rPr>
          <w:rFonts w:ascii="Times New Roman" w:hAnsi="Times New Roman"/>
          <w:color w:val="000000"/>
          <w:sz w:val="24"/>
        </w:rPr>
      </w:pPr>
      <w:r>
        <w:rPr>
          <w:rFonts w:ascii="Times New Roman" w:hAnsi="Times New Roman"/>
          <w:color w:val="000000"/>
          <w:sz w:val="24"/>
        </w:rPr>
        <w:t xml:space="preserve">Beta acknowledges and agrees that ADC is the owner of all Trademark rights, including common law rights, associated with the three-dimensional shape and appearance of ADC sensors and the color yellow for diabetes management and analyte monitoring products (ADC Trade Dress Marks). Beta shall comply with the Use Guidelines For ADC Trade Dress Marks attached as Exhibit 6.2 to ensure proper use of these ADC Trade Dress Marks, as well as any additional standards or guidelines regarding the usage or presentation of such ADC Trade Dress Marks which ADC may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232" w:after="283"/>
        <w:ind w:left="1440" w:right="346" w:hanging="0"/>
        <w:jc w:val="both"/>
        <w:rPr>
          <w:rFonts w:ascii="Times New Roman" w:hAnsi="Times New Roman"/>
          <w:color w:val="000000"/>
          <w:sz w:val="24"/>
        </w:rPr>
      </w:pPr>
      <w:r>
        <w:rPr>
          <w:rFonts w:ascii="Times New Roman" w:hAnsi="Times New Roman"/>
          <w:color w:val="000000"/>
          <w:sz w:val="24"/>
        </w:rPr>
        <w:t>communicate from time to time, with any revisions to be effective upon written notice to Beta. Beta agrees to assist in the prosecution of any future or current Trademark registrations related to the ADC Trade Dress Marks, including, but not limited to, tracking use of the ADC Trade Dress Marks and tracking any other information supporting the establishment of secondary meaning and/or acquired distinctiveness. Beta agrees that neither it nor its Affiliates or agents shall, during or after the Term of the Agreement, anywhere in the world, take any action, or assist any other party in taking any action, challenging the validity of any of the ADC Trade Dress Marks in any court, tribunal, national trademark office, or government agency.</w:t>
      </w:r>
    </w:p>
    <w:p>
      <w:pPr>
        <w:pStyle w:val="TextBody"/>
        <w:bidi w:val="0"/>
        <w:spacing w:before="249" w:after="283"/>
        <w:ind w:left="720" w:right="0" w:hanging="0"/>
        <w:jc w:val="left"/>
        <w:rPr>
          <w:rFonts w:ascii="Times New Roman" w:hAnsi="Times New Roman"/>
          <w:color w:val="000000"/>
          <w:sz w:val="24"/>
        </w:rPr>
      </w:pPr>
      <w:r>
        <w:rPr>
          <w:rFonts w:ascii="Times New Roman" w:hAnsi="Times New Roman"/>
          <w:color w:val="000000"/>
          <w:sz w:val="24"/>
        </w:rPr>
        <w:t>(e)</w:t>
      </w:r>
    </w:p>
    <w:p>
      <w:pPr>
        <w:pStyle w:val="TextBody"/>
        <w:bidi w:val="0"/>
        <w:spacing w:before="249" w:after="283"/>
        <w:jc w:val="left"/>
        <w:rPr/>
      </w:pPr>
      <w:r>
        <w:rPr>
          <w:rFonts w:ascii="Times New Roman" w:hAnsi="Times New Roman"/>
          <w:color w:val="000000"/>
          <w:sz w:val="24"/>
          <w:u w:val="single"/>
        </w:rPr>
        <w:t>Commercialization and Quality Agreement</w:t>
      </w:r>
      <w:r>
        <w:rPr>
          <w:rFonts w:ascii="Times New Roman" w:hAnsi="Times New Roman"/>
          <w:color w:val="000000"/>
          <w:sz w:val="24"/>
        </w:rPr>
        <w:t>.</w:t>
      </w:r>
    </w:p>
    <w:p>
      <w:pPr>
        <w:pStyle w:val="TextBody"/>
        <w:bidi w:val="0"/>
        <w:spacing w:before="234" w:after="283"/>
        <w:ind w:left="1526" w:right="360" w:hanging="0"/>
        <w:jc w:val="both"/>
        <w:rPr>
          <w:rFonts w:ascii="Times New Roman" w:hAnsi="Times New Roman"/>
          <w:color w:val="000000"/>
          <w:sz w:val="24"/>
        </w:rPr>
      </w:pPr>
      <w:r>
        <w:rPr>
          <w:rFonts w:ascii="Times New Roman" w:hAnsi="Times New Roman"/>
          <w:color w:val="000000"/>
          <w:sz w:val="24"/>
        </w:rPr>
        <w:t>(i)</w:t>
      </w:r>
    </w:p>
    <w:p>
      <w:pPr>
        <w:pStyle w:val="TextBody"/>
        <w:bidi w:val="0"/>
        <w:spacing w:before="234" w:after="283"/>
        <w:jc w:val="both"/>
        <w:rPr>
          <w:rFonts w:ascii="Times New Roman" w:hAnsi="Times New Roman"/>
          <w:color w:val="000000"/>
          <w:sz w:val="24"/>
        </w:rPr>
      </w:pPr>
      <w:r>
        <w:rPr>
          <w:rFonts w:ascii="Times New Roman" w:hAnsi="Times New Roman"/>
          <w:color w:val="000000"/>
          <w:sz w:val="24"/>
        </w:rPr>
        <w:t>Section 7.1(a) is hereby deleted in its entirety and replaced with the following:</w:t>
      </w:r>
    </w:p>
    <w:p>
      <w:pPr>
        <w:pStyle w:val="TextBody"/>
        <w:bidi w:val="0"/>
        <w:spacing w:before="223" w:after="283"/>
        <w:ind w:left="2160" w:right="360" w:hanging="0"/>
        <w:jc w:val="both"/>
        <w:rPr>
          <w:rFonts w:ascii="Times New Roman" w:hAnsi="Times New Roman"/>
          <w:color w:val="000000"/>
          <w:sz w:val="24"/>
        </w:rPr>
      </w:pPr>
      <w:r>
        <w:rPr>
          <w:rFonts w:ascii="Times New Roman" w:hAnsi="Times New Roman"/>
          <w:color w:val="000000"/>
          <w:sz w:val="24"/>
        </w:rPr>
        <w:t>(a)</w:t>
      </w:r>
    </w:p>
    <w:p>
      <w:pPr>
        <w:pStyle w:val="TextBody"/>
        <w:bidi w:val="0"/>
        <w:spacing w:before="223" w:after="283"/>
        <w:jc w:val="both"/>
        <w:rPr/>
      </w:pPr>
      <w:r>
        <w:rPr>
          <w:rFonts w:ascii="Times New Roman" w:hAnsi="Times New Roman"/>
          <w:color w:val="000000"/>
          <w:sz w:val="24"/>
        </w:rPr>
        <w:t>The Parties prepared a preliminary commercialization plan for the Libre-Beta System, which plan includes identification of target markets, target release dates, the process for transfer of prescriptions set forth in Section 7.4(b), and other actions necessary to achieve commercial launch in each identified target market, and the Parties negotiated an updated version of such commercialization plan to cover the addition of the DGK Sensor (such commercialization plan, as updated, the “</w:t>
      </w:r>
      <w:r>
        <w:rPr>
          <w:rFonts w:ascii="Times New Roman" w:hAnsi="Times New Roman"/>
          <w:color w:val="000000"/>
          <w:sz w:val="24"/>
          <w:u w:val="single"/>
        </w:rPr>
        <w:t>Commercialization</w:t>
      </w:r>
      <w:r>
        <w:rPr>
          <w:color w:val="000000"/>
        </w:rPr>
        <w:t xml:space="preserve"> </w:t>
      </w:r>
      <w:r>
        <w:rPr>
          <w:rFonts w:ascii="Times New Roman" w:hAnsi="Times New Roman"/>
          <w:color w:val="000000"/>
          <w:sz w:val="24"/>
          <w:u w:val="single"/>
        </w:rPr>
        <w:t>Plan</w:t>
      </w:r>
      <w:r>
        <w:rPr>
          <w:color w:val="000000"/>
        </w:rPr>
        <w:t>”</w:t>
      </w:r>
      <w:r>
        <w:rPr>
          <w:rFonts w:ascii="Times New Roman" w:hAnsi="Times New Roman"/>
          <w:color w:val="000000"/>
          <w:sz w:val="24"/>
        </w:rPr>
        <w:t>). The Parties shall negotiate in good faith to update the existing Commercialization Plan for the Libre-Beta System to include any necessary information regarding the Beta App Controller and Mint Pump. This updated plan shall be presented to the JSC for approval at least ninety (90) days before the target commercial launch date of the Mint Pump. Beta shall initiate the amendment of the existing Commercialization Plan, including details on its Mint Pump launch strategy, to facilitate ADC planning for the commercial launch. The Parties will present an updated Commercialization Plan to the JSC for approval within sixty (60) days thereafter, which shall incorporate any initial feedback and changes based on the input of the JSC. If the Parties are unable to reach agreement on the Commercialization Plan within the foregoing time periods, then either Party may refer the matter to the JSC for resolution at its next meeting. If the JSC is unable to resolve the matter within thirty (30) days after its next meeting, either Party may refer the matter to the Senior Officers for resolution pursuant to Section 2.5. The Commercialization Plan shall be consistent with the terms of this Article VII and include a written plan to comply with Section 9.1. The Commercialization Plan may thereafter be amended by the JSC.</w:t>
      </w:r>
    </w:p>
    <w:p>
      <w:pPr>
        <w:pStyle w:val="TextBody"/>
        <w:bidi w:val="0"/>
        <w:spacing w:before="223" w:after="283"/>
        <w:ind w:left="0" w:right="360" w:hanging="0"/>
        <w:jc w:val="both"/>
        <w:rPr/>
      </w:pPr>
      <w:r>
        <w:rPr/>
        <w:t> </w:t>
      </w:r>
    </w:p>
    <w:p>
      <w:pPr>
        <w:pStyle w:val="TextBody"/>
        <w:bidi w:val="0"/>
        <w:spacing w:before="223" w:after="283"/>
        <w:ind w:left="0" w:right="360" w:hanging="0"/>
        <w:jc w:val="both"/>
        <w:rPr/>
      </w:pPr>
      <w:r>
        <w:rPr/>
        <w:t> </w:t>
      </w:r>
    </w:p>
    <w:p>
      <w:pPr>
        <w:pStyle w:val="TextBody"/>
        <w:bidi w:val="0"/>
        <w:spacing w:before="240" w:after="283"/>
        <w:ind w:left="1440" w:right="0" w:hanging="0"/>
        <w:jc w:val="left"/>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Section 8.1 is hereby deleted in its entirety and replaced with the following:</w:t>
      </w:r>
    </w:p>
    <w:p>
      <w:pPr>
        <w:pStyle w:val="TextBody"/>
        <w:bidi w:val="0"/>
        <w:spacing w:before="233" w:after="283"/>
        <w:ind w:left="2161" w:right="348" w:hanging="0"/>
        <w:jc w:val="both"/>
        <w:rPr>
          <w:rFonts w:ascii="Times New Roman" w:hAnsi="Times New Roman"/>
          <w:sz w:val="20"/>
        </w:rPr>
      </w:pPr>
      <w:r>
        <w:rPr>
          <w:rFonts w:ascii="Times New Roman" w:hAnsi="Times New Roman"/>
          <w:color w:val="000000"/>
          <w:sz w:val="24"/>
        </w:rPr>
        <w:t xml:space="preserve">8.1 </w:t>
      </w:r>
      <w:r>
        <w:rPr>
          <w:rFonts w:ascii="Times New Roman" w:hAnsi="Times New Roman"/>
          <w:b/>
          <w:color w:val="000000"/>
          <w:sz w:val="24"/>
        </w:rPr>
        <w:t>Negotiation of Quality Agreement</w:t>
      </w:r>
      <w:r>
        <w:rPr>
          <w:rFonts w:ascii="Times New Roman" w:hAnsi="Times New Roman"/>
          <w:color w:val="000000"/>
          <w:sz w:val="24"/>
        </w:rPr>
        <w:t>. The Parties entered into a quality agreement to address customer training, service and support, complaint handling, adverse event reporting and other regulatory, operational,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233" w:after="283"/>
        <w:ind w:left="2161" w:right="348" w:hanging="0"/>
        <w:jc w:val="both"/>
        <w:rPr>
          <w:rFonts w:ascii="Times New Roman" w:hAnsi="Times New Roman"/>
          <w:sz w:val="20"/>
        </w:rPr>
      </w:pPr>
      <w:r>
        <w:rPr>
          <w:rFonts w:ascii="Times New Roman" w:hAnsi="Times New Roman"/>
          <w:color w:val="000000"/>
          <w:sz w:val="24"/>
        </w:rPr>
        <w:t>quality responsibilities for the Libre-Beta System, and the Parties negotiated an updated version of such quality agreement to cover the addition of the DGK Sensor (such quality agreement, as updated, the “</w:t>
      </w:r>
      <w:r>
        <w:rPr>
          <w:rFonts w:ascii="Times New Roman" w:hAnsi="Times New Roman"/>
          <w:color w:val="000000"/>
          <w:sz w:val="24"/>
          <w:u w:val="single"/>
        </w:rPr>
        <w:t>Quality Agreement</w:t>
      </w:r>
      <w:r>
        <w:rPr>
          <w:rFonts w:ascii="Times New Roman" w:hAnsi="Times New Roman"/>
          <w:color w:val="000000"/>
          <w:sz w:val="20"/>
        </w:rPr>
        <w:t>”</w:t>
      </w:r>
      <w:r>
        <w:rPr>
          <w:rFonts w:ascii="Times New Roman" w:hAnsi="Times New Roman"/>
          <w:color w:val="000000"/>
          <w:sz w:val="24"/>
        </w:rPr>
        <w:t>). At least thirty (30) days before the Target Launch Date determined by the JSC for the Launch Country, the Parties shall evaluate and, if needed, amend the Quality Agreement to align with the Commercialization Plan for such Launch Country.</w:t>
      </w:r>
    </w:p>
    <w:p>
      <w:pPr>
        <w:pStyle w:val="TextBody"/>
        <w:bidi w:val="0"/>
        <w:spacing w:before="241" w:after="283"/>
        <w:ind w:left="2161" w:right="351" w:hanging="0"/>
        <w:jc w:val="both"/>
        <w:rPr>
          <w:rFonts w:ascii="Times New Roman" w:hAnsi="Times New Roman"/>
          <w:color w:val="000000"/>
          <w:sz w:val="24"/>
        </w:rPr>
      </w:pPr>
      <w:r>
        <w:rPr>
          <w:rFonts w:ascii="Times New Roman" w:hAnsi="Times New Roman"/>
          <w:color w:val="000000"/>
          <w:sz w:val="24"/>
        </w:rPr>
        <w:t>Following the Third Amendment Effective Date, the Parties shall negotiate in good faith any necessary amendments to the Quality Agreement to cover the addition of the Beta App Controller and Mint Pump. If the Parties are unable to reach agreement on the terms of the Quality Agreement to cover the addition of the Beta App Controller and Mint Pump at least thirty (30) days before the first Target Launch Date for the Mint Pump, the matter will be addressed at the next JSC meeting and, if the JSC is unable to resolve the matter, either Party may refer the matter to the Senior Officers for resolution pursuant Section 2.5.</w:t>
      </w:r>
    </w:p>
    <w:p>
      <w:pPr>
        <w:pStyle w:val="TextBody"/>
        <w:bidi w:val="0"/>
        <w:spacing w:before="248"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8" w:after="283"/>
        <w:jc w:val="left"/>
        <w:rPr/>
      </w:pP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233" w:after="283"/>
        <w:ind w:left="720" w:right="360" w:hanging="0"/>
        <w:jc w:val="left"/>
        <w:rPr>
          <w:rFonts w:ascii="Times New Roman" w:hAnsi="Times New Roman"/>
          <w:color w:val="000000"/>
          <w:sz w:val="24"/>
        </w:rPr>
      </w:pPr>
      <w:r>
        <w:rPr>
          <w:rFonts w:ascii="Times New Roman" w:hAnsi="Times New Roman"/>
          <w:color w:val="000000"/>
          <w:sz w:val="24"/>
        </w:rPr>
        <w:t>(a)</w:t>
      </w:r>
    </w:p>
    <w:p>
      <w:pPr>
        <w:pStyle w:val="TextBody"/>
        <w:bidi w:val="0"/>
        <w:spacing w:before="233" w:after="283"/>
        <w:jc w:val="left"/>
        <w:rPr/>
      </w:pPr>
      <w:r>
        <w:rPr>
          <w:rFonts w:ascii="Times New Roman" w:hAnsi="Times New Roman"/>
          <w:color w:val="000000"/>
          <w:sz w:val="24"/>
          <w:u w:val="single"/>
        </w:rPr>
        <w:t>No Other Amendments</w:t>
      </w:r>
      <w:r>
        <w:rPr>
          <w:rFonts w:ascii="Times New Roman" w:hAnsi="Times New Roman"/>
          <w:color w:val="000000"/>
          <w:sz w:val="24"/>
        </w:rPr>
        <w:t>. Except as modified herein, all other terms of the Agreement shall remain in full force and effect.</w:t>
      </w:r>
    </w:p>
    <w:p>
      <w:pPr>
        <w:pStyle w:val="TextBody"/>
        <w:bidi w:val="0"/>
        <w:spacing w:before="223" w:after="283"/>
        <w:ind w:left="720" w:right="360" w:hanging="0"/>
        <w:jc w:val="left"/>
        <w:rPr>
          <w:rFonts w:ascii="Times New Roman" w:hAnsi="Times New Roman"/>
          <w:color w:val="000000"/>
          <w:sz w:val="24"/>
        </w:rPr>
      </w:pPr>
      <w:r>
        <w:rPr>
          <w:rFonts w:ascii="Times New Roman" w:hAnsi="Times New Roman"/>
          <w:color w:val="000000"/>
          <w:sz w:val="24"/>
        </w:rPr>
        <w:t>(b)</w:t>
      </w:r>
    </w:p>
    <w:p>
      <w:pPr>
        <w:pStyle w:val="TextBody"/>
        <w:bidi w:val="0"/>
        <w:spacing w:before="223" w:after="283"/>
        <w:jc w:val="left"/>
        <w:rPr/>
      </w:pPr>
      <w:r>
        <w:rPr>
          <w:rFonts w:ascii="Times New Roman" w:hAnsi="Times New Roman"/>
          <w:color w:val="000000"/>
          <w:sz w:val="24"/>
          <w:u w:val="single"/>
        </w:rPr>
        <w:t>Conflicts</w:t>
      </w:r>
      <w:r>
        <w:rPr>
          <w:rFonts w:ascii="Times New Roman" w:hAnsi="Times New Roman"/>
          <w:color w:val="000000"/>
          <w:sz w:val="24"/>
        </w:rPr>
        <w:t>. In the event of a conflict between the terms of the Agreement and this Amendment, the terms of this Amendment shall govern.</w:t>
      </w:r>
    </w:p>
    <w:p>
      <w:pPr>
        <w:pStyle w:val="TextBody"/>
        <w:bidi w:val="0"/>
        <w:jc w:val="left"/>
        <w:rPr/>
      </w:pPr>
      <w:r>
        <w:rPr/>
        <w:t> </w:t>
      </w:r>
    </w:p>
    <w:p>
      <w:pPr>
        <w:pStyle w:val="TextBody"/>
        <w:bidi w:val="0"/>
        <w:spacing w:before="1" w:after="283"/>
        <w:ind w:left="720" w:right="346" w:hanging="0"/>
        <w:jc w:val="both"/>
        <w:rPr>
          <w:rFonts w:ascii="Times New Roman" w:hAnsi="Times New Roman"/>
          <w:color w:val="000000"/>
          <w:sz w:val="24"/>
        </w:rPr>
      </w:pPr>
      <w:r>
        <w:rPr>
          <w:rFonts w:ascii="Times New Roman" w:hAnsi="Times New Roman"/>
          <w:color w:val="000000"/>
          <w:sz w:val="24"/>
        </w:rPr>
        <w:t>(c)</w:t>
      </w:r>
    </w:p>
    <w:p>
      <w:pPr>
        <w:pStyle w:val="TextBody"/>
        <w:bidi w:val="0"/>
        <w:spacing w:before="1" w:after="283"/>
        <w:jc w:val="both"/>
        <w:rPr/>
      </w:pPr>
      <w:r>
        <w:rPr>
          <w:rFonts w:ascii="Times New Roman" w:hAnsi="Times New Roman"/>
          <w:color w:val="000000"/>
          <w:sz w:val="24"/>
          <w:u w:val="single"/>
        </w:rPr>
        <w:t>Counterparts</w:t>
      </w:r>
      <w:r>
        <w:rPr>
          <w:rFonts w:ascii="Times New Roman" w:hAnsi="Times New Roman"/>
          <w:color w:val="000000"/>
          <w:sz w:val="24"/>
        </w:rPr>
        <w:t>. This Amendment may be executed in counterparts, each of which shall be deemed to be an original and all of which together shall be deemed to be one and the same instrument.</w:t>
      </w:r>
    </w:p>
    <w:p>
      <w:pPr>
        <w:pStyle w:val="TextBody"/>
        <w:bidi w:val="0"/>
        <w:spacing w:before="234" w:after="283"/>
        <w:ind w:left="0" w:right="359" w:hanging="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p>
    <w:p>
      <w:pPr>
        <w:pStyle w:val="TextBody"/>
        <w:bidi w:val="0"/>
        <w:jc w:val="left"/>
        <w:rPr/>
      </w:pPr>
      <w:r>
        <w:rPr/>
        <w:t> </w:t>
      </w:r>
    </w:p>
    <w:p>
      <w:pPr>
        <w:pStyle w:val="TextBody"/>
        <w:bidi w:val="0"/>
        <w:spacing w:before="247" w:after="283"/>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1" w:after="283"/>
        <w:ind w:left="0" w:right="309" w:firstLine="72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this Amendment has been executed by the duly authorized representatives of Beta and ADC on the date first set forth above.</w:t>
      </w:r>
    </w:p>
    <w:p>
      <w:pPr>
        <w:pStyle w:val="TextBody"/>
        <w:bidi w:val="0"/>
        <w:jc w:val="left"/>
        <w:rPr/>
      </w:pPr>
      <w:r>
        <w:rPr/>
        <w:t> </w:t>
      </w:r>
    </w:p>
    <w:p>
      <w:pPr>
        <w:pStyle w:val="TextBody"/>
        <w:bidi w:val="0"/>
        <w:spacing w:before="201" w:after="283"/>
        <w:jc w:val="left"/>
        <w:rPr/>
      </w:pPr>
      <w:r>
        <w:rPr/>
        <w:t> </w:t>
      </w:r>
    </w:p>
    <w:p>
      <w:pPr>
        <w:pStyle w:val="Heading2"/>
        <w:bidi w:val="0"/>
        <w:jc w:val="left"/>
        <w:rPr>
          <w:rFonts w:ascii="Times New Roman" w:hAnsi="Times New Roman"/>
          <w:color w:val="000000"/>
          <w:sz w:val="24"/>
        </w:rPr>
      </w:pPr>
      <w:r>
        <w:rPr>
          <w:rFonts w:ascii="Times New Roman" w:hAnsi="Times New Roman"/>
          <w:color w:val="000000"/>
          <w:sz w:val="24"/>
        </w:rPr>
        <w:t>Abbott Diabetes Care Inc. Beta Bionics, Inc.</w:t>
      </w:r>
    </w:p>
    <w:p>
      <w:pPr>
        <w:pStyle w:val="TextBody"/>
        <w:bidi w:val="0"/>
        <w:spacing w:before="24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Ruchi Varshneya_</w:t>
      </w:r>
      <w:r>
        <w:rPr>
          <w:rFonts w:ascii="Times New Roman" w:hAnsi="Times New Roman"/>
          <w:color w:val="000000"/>
          <w:sz w:val="20"/>
        </w:rPr>
        <w:t xml:space="preserve"> </w:t>
      </w: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/s/ Stephen Feider_</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 xml:space="preserve">Ruchi Varshneya </w:t>
      </w:r>
      <w:r>
        <w:rPr>
          <w:rFonts w:ascii="Times New Roman" w:hAnsi="Times New Roman"/>
          <w:color w:val="000000"/>
          <w:sz w:val="24"/>
        </w:rPr>
        <w:t>Name:</w:t>
      </w:r>
      <w:r>
        <w:rPr>
          <w:rFonts w:ascii="Times New Roman" w:hAnsi="Times New Roman"/>
          <w:color w:val="000000"/>
          <w:sz w:val="20"/>
          <w:u w:val="single"/>
        </w:rPr>
        <w:t xml:space="preserve"> </w:t>
      </w:r>
      <w:r>
        <w:rPr>
          <w:rFonts w:ascii="Times New Roman" w:hAnsi="Times New Roman"/>
          <w:color w:val="000000"/>
          <w:sz w:val="24"/>
          <w:u w:val="single"/>
        </w:rPr>
        <w:t>Stephen Fedier_</w:t>
      </w:r>
    </w:p>
    <w:p>
      <w:pPr>
        <w:pStyle w:val="TextBody"/>
        <w:bidi w:val="0"/>
        <w:spacing w:before="240" w:after="283"/>
        <w:jc w:val="left"/>
        <w:rPr>
          <w:rFonts w:ascii="Times New Roman" w:hAnsi="Times New Roman"/>
          <w:sz w:val="20"/>
        </w:rPr>
      </w:pP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 xml:space="preserve">DVP, Global Strategic Marketing </w:t>
      </w:r>
      <w:r>
        <w:rPr>
          <w:rFonts w:ascii="Times New Roman" w:hAnsi="Times New Roman"/>
          <w:color w:val="000000"/>
          <w:sz w:val="24"/>
        </w:rPr>
        <w:t>Title:</w:t>
      </w:r>
      <w:r>
        <w:rPr>
          <w:rFonts w:ascii="Times New Roman" w:hAnsi="Times New Roman"/>
          <w:color w:val="000000"/>
          <w:sz w:val="20"/>
          <w:u w:val="single"/>
        </w:rPr>
        <w:t xml:space="preserve"> </w:t>
      </w:r>
      <w:r>
        <w:rPr>
          <w:rFonts w:ascii="Times New Roman" w:hAnsi="Times New Roman"/>
          <w:color w:val="000000"/>
          <w:sz w:val="24"/>
          <w:u w:val="single"/>
        </w:rPr>
        <w:t>CFO_</w:t>
      </w:r>
    </w:p>
    <w:p>
      <w:pPr>
        <w:pStyle w:val="TextBody"/>
        <w:bidi w:val="0"/>
        <w:spacing w:before="240" w:after="283"/>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u w:val="single"/>
        </w:rPr>
        <w:t xml:space="preserve"> </w:t>
      </w:r>
      <w:r>
        <w:rPr>
          <w:rFonts w:ascii="Times New Roman" w:hAnsi="Times New Roman"/>
          <w:color w:val="000000"/>
          <w:sz w:val="24"/>
          <w:u w:val="single"/>
        </w:rPr>
        <w:t xml:space="preserve">July 7, 2026 | 1:14:43 PM CDT </w:t>
      </w:r>
      <w:r>
        <w:rPr>
          <w:rFonts w:ascii="Times New Roman" w:hAnsi="Times New Roman"/>
          <w:color w:val="000000"/>
          <w:sz w:val="24"/>
        </w:rPr>
        <w:t>Date:</w:t>
      </w:r>
      <w:r>
        <w:rPr>
          <w:rFonts w:ascii="Times New Roman" w:hAnsi="Times New Roman"/>
          <w:color w:val="000000"/>
          <w:sz w:val="20"/>
          <w:u w:val="single"/>
        </w:rPr>
        <w:t xml:space="preserve"> </w:t>
      </w:r>
      <w:r>
        <w:rPr>
          <w:rFonts w:ascii="Times New Roman" w:hAnsi="Times New Roman"/>
          <w:color w:val="000000"/>
          <w:sz w:val="24"/>
          <w:u w:val="single"/>
        </w:rPr>
        <w:t>July 7, 2026 | 5:31:11 PM CDT_</w:t>
      </w:r>
    </w:p>
    <w:p>
      <w:pPr>
        <w:pStyle w:val="TextBody"/>
        <w:bidi w:val="0"/>
        <w:jc w:val="left"/>
        <w:rPr/>
      </w:pPr>
      <w:r>
        <w:rPr/>
        <w:t> </w:t>
      </w:r>
    </w:p>
    <w:p>
      <w:pPr>
        <w:pStyle w:val="TextBody"/>
        <w:bidi w:val="0"/>
        <w:spacing w:before="130" w:after="283"/>
        <w:jc w:val="left"/>
        <w:rPr/>
      </w:pPr>
      <w:r>
        <w:rPr/>
        <w:t> </w:t>
      </w:r>
    </w:p>
    <w:p>
      <w:pPr>
        <w:pStyle w:val="TextBody"/>
        <w:bidi w:val="0"/>
        <w:spacing w:before="62" w:after="283"/>
        <w:jc w:val="left"/>
        <w:rPr/>
      </w:pPr>
      <w:r>
        <w:rPr/>
        <w:t> </w:t>
      </w:r>
    </w:p>
    <w:p>
      <w:pPr>
        <w:pStyle w:val="TextBody"/>
        <w:bidi w:val="0"/>
        <w:spacing w:before="140" w:after="283"/>
        <w:jc w:val="left"/>
        <w:rPr/>
      </w:pPr>
      <w:r>
        <w:rPr/>
        <w:t> </w:t>
      </w:r>
    </w:p>
    <w:p>
      <w:pPr>
        <w:pStyle w:val="TextBody"/>
        <w:bidi w:val="0"/>
        <w:spacing w:before="140" w:after="283"/>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1" w:after="283"/>
        <w:ind w:left="0" w:right="302" w:hanging="0"/>
        <w:jc w:val="center"/>
        <w:rPr>
          <w:rFonts w:ascii="Times New Roman" w:hAnsi="Times New Roman"/>
          <w:color w:val="000000"/>
          <w:sz w:val="24"/>
          <w:u w:val="single"/>
        </w:rPr>
      </w:pPr>
      <w:r>
        <w:rPr>
          <w:rFonts w:ascii="Times New Roman" w:hAnsi="Times New Roman"/>
          <w:color w:val="000000"/>
          <w:sz w:val="24"/>
          <w:u w:val="single"/>
        </w:rPr>
        <w:t>Exhibit 1.25</w:t>
      </w:r>
    </w:p>
    <w:p>
      <w:pPr>
        <w:pStyle w:val="TextBody"/>
        <w:bidi w:val="0"/>
        <w:spacing w:before="1" w:after="283"/>
        <w:ind w:left="0" w:right="302" w:hanging="0"/>
        <w:jc w:val="center"/>
        <w:rPr/>
      </w:pPr>
      <w:r>
        <w:rPr/>
        <w:t> </w:t>
      </w:r>
    </w:p>
    <w:p>
      <w:pPr>
        <w:pStyle w:val="TextBody"/>
        <w:bidi w:val="0"/>
        <w:spacing w:before="1" w:after="283"/>
        <w:ind w:left="0" w:right="302" w:hanging="0"/>
        <w:jc w:val="center"/>
        <w:rPr>
          <w:rFonts w:ascii="Times New Roman" w:hAnsi="Times New Roman"/>
          <w:b/>
          <w:color w:val="000000"/>
          <w:sz w:val="24"/>
        </w:rPr>
      </w:pPr>
      <w:r>
        <w:rPr>
          <w:rFonts w:ascii="Times New Roman" w:hAnsi="Times New Roman"/>
          <w:b/>
          <w:color w:val="000000"/>
          <w:sz w:val="24"/>
        </w:rPr>
        <w:t>BETA MARKS</w:t>
      </w:r>
    </w:p>
    <w:p>
      <w:pPr>
        <w:pStyle w:val="TextBody"/>
        <w:bidi w:val="0"/>
        <w:spacing w:before="16" w:after="283"/>
        <w:jc w:val="left"/>
        <w:rPr/>
      </w:pPr>
      <w:r>
        <w:rPr/>
        <w:t> </w:t>
      </w:r>
    </w:p>
    <w:p>
      <w:pPr>
        <w:pStyle w:val="TextBody"/>
        <w:bidi w:val="0"/>
        <w:spacing w:before="0" w:after="0"/>
        <w:ind w:left="360" w:right="0" w:hanging="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BETA BIONICS</w:t>
      </w:r>
    </w:p>
    <w:p>
      <w:pPr>
        <w:pStyle w:val="TextBody"/>
        <w:bidi w:val="0"/>
        <w:spacing w:before="239" w:after="283"/>
        <w:ind w:left="360" w:right="0" w:hanging="0"/>
        <w:jc w:val="left"/>
        <w:rPr>
          <w:color w:val="000000"/>
        </w:rPr>
      </w:pPr>
      <w:r>
        <w:rPr>
          <w:color w:val="000000"/>
        </w:rPr>
        <w:t>•</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iLet</w:t>
      </w:r>
    </w:p>
    <w:p>
      <w:pPr>
        <w:pStyle w:val="TextBody"/>
        <w:bidi w:val="0"/>
        <w:spacing w:before="239" w:after="283"/>
        <w:ind w:left="360" w:right="0" w:hanging="0"/>
        <w:jc w:val="left"/>
        <w:rPr>
          <w:color w:val="000000"/>
        </w:rPr>
      </w:pPr>
      <w:r>
        <w:rPr>
          <w:color w:val="000000"/>
        </w:rPr>
        <w:t>•</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Bionic Pancreas</w:t>
      </w:r>
    </w:p>
    <w:p>
      <w:pPr>
        <w:pStyle w:val="TextBody"/>
        <w:bidi w:val="0"/>
        <w:spacing w:before="239" w:after="283"/>
        <w:ind w:left="360" w:right="0" w:hanging="0"/>
        <w:jc w:val="left"/>
        <w:rPr>
          <w:color w:val="000000"/>
        </w:rPr>
      </w:pPr>
      <w:r>
        <w:rPr>
          <w:color w:val="000000"/>
        </w:rPr>
        <w:t>•</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iLet Bionic Pancreas</w:t>
      </w:r>
    </w:p>
    <w:p>
      <w:pPr>
        <w:pStyle w:val="TextBody"/>
        <w:bidi w:val="0"/>
        <w:spacing w:before="239" w:after="283"/>
        <w:ind w:left="360" w:right="0" w:hanging="0"/>
        <w:jc w:val="left"/>
        <w:rPr>
          <w:color w:val="000000"/>
        </w:rPr>
      </w:pPr>
      <w:r>
        <w:rPr>
          <w:color w:val="000000"/>
        </w:rPr>
        <w:t>•</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Bionic Insights</w:t>
      </w:r>
    </w:p>
    <w:p>
      <w:pPr>
        <w:pStyle w:val="TextBody"/>
        <w:bidi w:val="0"/>
        <w:spacing w:before="239" w:after="283"/>
        <w:ind w:left="360" w:right="0" w:hanging="0"/>
        <w:jc w:val="left"/>
        <w:rPr>
          <w:color w:val="000000"/>
        </w:rPr>
      </w:pPr>
      <w:r>
        <w:rPr>
          <w:color w:val="000000"/>
        </w:rPr>
        <w:t>•</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Bionic Circle</w:t>
      </w:r>
    </w:p>
    <w:p>
      <w:pPr>
        <w:pStyle w:val="TextBody"/>
        <w:bidi w:val="0"/>
        <w:spacing w:before="239" w:after="283"/>
        <w:ind w:left="360" w:right="0" w:hanging="0"/>
        <w:jc w:val="left"/>
        <w:rPr>
          <w:color w:val="000000"/>
        </w:rPr>
      </w:pPr>
      <w:r>
        <w:rPr>
          <w:color w:val="000000"/>
        </w:rPr>
        <w:t>•</w:t>
      </w:r>
    </w:p>
    <w:p>
      <w:pPr>
        <w:pStyle w:val="TextBody"/>
        <w:bidi w:val="0"/>
        <w:spacing w:before="239" w:after="283"/>
        <w:jc w:val="left"/>
        <w:rPr>
          <w:rFonts w:ascii="Times New Roman" w:hAnsi="Times New Roman"/>
          <w:color w:val="000000"/>
          <w:sz w:val="24"/>
        </w:rPr>
      </w:pPr>
      <w:r>
        <w:rPr>
          <w:rFonts w:ascii="Times New Roman" w:hAnsi="Times New Roman"/>
          <w:color w:val="000000"/>
          <w:sz w:val="24"/>
        </w:rPr>
        <w:t>Mint by Beta Bionics</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1" w:after="283"/>
        <w:ind w:left="0" w:right="302" w:hanging="0"/>
        <w:jc w:val="center"/>
        <w:rPr>
          <w:rFonts w:ascii="Times New Roman" w:hAnsi="Times New Roman"/>
          <w:color w:val="000000"/>
          <w:sz w:val="24"/>
          <w:u w:val="single"/>
        </w:rPr>
      </w:pPr>
      <w:r>
        <w:rPr>
          <w:rFonts w:ascii="Times New Roman" w:hAnsi="Times New Roman"/>
          <w:color w:val="000000"/>
          <w:sz w:val="24"/>
          <w:u w:val="single"/>
        </w:rPr>
        <w:t>Exhibit 1.6</w:t>
      </w:r>
    </w:p>
    <w:p>
      <w:pPr>
        <w:pStyle w:val="TextBody"/>
        <w:bidi w:val="0"/>
        <w:spacing w:before="1" w:after="283"/>
        <w:ind w:left="0" w:right="302" w:hanging="0"/>
        <w:jc w:val="center"/>
        <w:rPr/>
      </w:pPr>
      <w:r>
        <w:rPr/>
        <w:t> </w:t>
      </w:r>
    </w:p>
    <w:p>
      <w:pPr>
        <w:pStyle w:val="TextBody"/>
        <w:bidi w:val="0"/>
        <w:spacing w:before="1" w:after="283"/>
        <w:ind w:left="0" w:right="302" w:hanging="0"/>
        <w:jc w:val="center"/>
        <w:rPr>
          <w:rFonts w:ascii="Times New Roman" w:hAnsi="Times New Roman"/>
          <w:b/>
          <w:color w:val="000000"/>
          <w:sz w:val="24"/>
        </w:rPr>
      </w:pPr>
      <w:r>
        <w:rPr>
          <w:rFonts w:ascii="Times New Roman" w:hAnsi="Times New Roman"/>
          <w:b/>
          <w:color w:val="000000"/>
          <w:sz w:val="24"/>
        </w:rPr>
        <w:t>ADC MARKS</w:t>
      </w:r>
    </w:p>
    <w:p>
      <w:pPr>
        <w:pStyle w:val="TextBody"/>
        <w:bidi w:val="0"/>
        <w:spacing w:before="17"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ABBOTT</w:t>
      </w:r>
    </w:p>
    <w:p>
      <w:pPr>
        <w:pStyle w:val="TextBody"/>
        <w:bidi w:val="0"/>
        <w:spacing w:before="241" w:after="283"/>
        <w:jc w:val="left"/>
        <w:rPr>
          <w:color w:val="000000"/>
        </w:rPr>
      </w:pPr>
      <w:r>
        <w:rPr>
          <w:color w:val="000000"/>
        </w:rPr>
        <w: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ABBOTT DIABETES CARE</w:t>
      </w:r>
    </w:p>
    <w:p>
      <w:pPr>
        <w:pStyle w:val="TextBody"/>
        <w:bidi w:val="0"/>
        <w:spacing w:before="242" w:after="283"/>
        <w:jc w:val="left"/>
        <w:rPr>
          <w:color w:val="000000"/>
        </w:rPr>
      </w:pPr>
      <w:r>
        <w:rPr>
          <w:color w:val="000000"/>
        </w:rPr>
        <w:t>•</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FREESTYLE</w:t>
      </w:r>
    </w:p>
    <w:p>
      <w:pPr>
        <w:pStyle w:val="TextBody"/>
        <w:bidi w:val="0"/>
        <w:spacing w:before="241" w:after="283"/>
        <w:jc w:val="left"/>
        <w:rPr>
          <w:color w:val="000000"/>
        </w:rPr>
      </w:pPr>
      <w:r>
        <w:rPr>
          <w:color w:val="000000"/>
        </w:rPr>
        <w: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FREESTYLE LIBRE</w:t>
      </w:r>
    </w:p>
    <w:p>
      <w:pPr>
        <w:pStyle w:val="TextBody"/>
        <w:bidi w:val="0"/>
        <w:spacing w:before="237" w:after="283"/>
        <w:jc w:val="left"/>
        <w:rPr>
          <w:color w:val="000000"/>
        </w:rPr>
      </w:pPr>
      <w:r>
        <w:rPr>
          <w:color w:val="000000"/>
        </w:rPr>
        <w:t>•</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FREESTYLE LIBRE 3</w:t>
      </w:r>
    </w:p>
    <w:p>
      <w:pPr>
        <w:pStyle w:val="TextBody"/>
        <w:bidi w:val="0"/>
        <w:jc w:val="left"/>
        <w:rPr/>
      </w:pPr>
      <w:r>
        <w:rPr/>
        <w:t> </w:t>
      </w:r>
    </w:p>
    <w:p>
      <w:pPr>
        <w:pStyle w:val="TextBody"/>
        <w:bidi w:val="0"/>
        <w:spacing w:before="205"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pPr>
      <w:r>
        <w:rPr/>
        <w:drawing>
          <wp:inline distT="0" distB="0" distL="0" distR="0">
            <wp:extent cx="1200150" cy="12001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8"/>
                    <a:stretch>
                      <a:fillRect/>
                    </a:stretch>
                  </pic:blipFill>
                  <pic:spPr bwMode="auto">
                    <a:xfrm>
                      <a:off x="0" y="0"/>
                      <a:ext cx="1200150" cy="1200150"/>
                    </a:xfrm>
                    <a:prstGeom prst="rect">
                      <a:avLst/>
                    </a:prstGeom>
                  </pic:spPr>
                </pic:pic>
              </a:graphicData>
            </a:graphic>
          </wp:inline>
        </w:drawing>
      </w:r>
    </w:p>
    <w:p>
      <w:pPr>
        <w:pStyle w:val="TextBody"/>
        <w:bidi w:val="0"/>
        <w:jc w:val="left"/>
        <w:rPr/>
      </w:pPr>
      <w:r>
        <w:rPr/>
        <w:t> </w:t>
      </w:r>
    </w:p>
    <w:p>
      <w:pPr>
        <w:pStyle w:val="TextBody"/>
        <w:bidi w:val="0"/>
        <w:spacing w:before="8" w:after="283"/>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drawing>
          <wp:inline distT="0" distB="0" distL="0" distR="0">
            <wp:extent cx="1200150" cy="1190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9"/>
                    <a:stretch>
                      <a:fillRect/>
                    </a:stretch>
                  </pic:blipFill>
                  <pic:spPr bwMode="auto">
                    <a:xfrm>
                      <a:off x="0" y="0"/>
                      <a:ext cx="1200150" cy="1190625"/>
                    </a:xfrm>
                    <a:prstGeom prst="rect">
                      <a:avLst/>
                    </a:prstGeom>
                  </pic:spPr>
                </pic:pic>
              </a:graphicData>
            </a:graphic>
          </wp:inline>
        </w:drawing>
      </w:r>
    </w:p>
    <w:p>
      <w:pPr>
        <w:pStyle w:val="TextBody"/>
        <w:bidi w:val="0"/>
        <w:spacing w:before="190" w:after="283"/>
        <w:jc w:val="left"/>
        <w:rPr>
          <w:color w:val="000000"/>
        </w:rPr>
      </w:pPr>
      <w:r>
        <w:rPr>
          <w:color w:val="000000"/>
        </w:rPr>
        <w:t>•</w:t>
      </w:r>
    </w:p>
    <w:p>
      <w:pPr>
        <w:pStyle w:val="TextBody"/>
        <w:bidi w:val="0"/>
        <w:spacing w:before="190" w:after="283"/>
        <w:jc w:val="left"/>
        <w:rPr>
          <w:rFonts w:ascii="Times New Roman" w:hAnsi="Times New Roman"/>
          <w:color w:val="000000"/>
          <w:sz w:val="24"/>
        </w:rPr>
      </w:pPr>
      <w:r>
        <w:rPr>
          <w:rFonts w:ascii="Times New Roman" w:hAnsi="Times New Roman"/>
          <w:color w:val="000000"/>
          <w:sz w:val="24"/>
        </w:rPr>
        <w:t>FREESTYLE LIBRE 3 PLUS</w:t>
      </w:r>
    </w:p>
    <w:p>
      <w:pPr>
        <w:pStyle w:val="TextBody"/>
        <w:bidi w:val="0"/>
        <w:spacing w:before="241" w:after="283"/>
        <w:jc w:val="left"/>
        <w:rPr>
          <w:color w:val="000000"/>
        </w:rPr>
      </w:pPr>
      <w:r>
        <w:rPr>
          <w:color w:val="000000"/>
        </w:rPr>
        <w: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LIBRELINKUP</w:t>
      </w:r>
    </w:p>
    <w:p>
      <w:pPr>
        <w:pStyle w:val="TextBody"/>
        <w:bidi w:val="0"/>
        <w:spacing w:before="90" w:after="283"/>
        <w:ind w:left="0" w:right="4292" w:hanging="0"/>
        <w:jc w:val="center"/>
        <w:rPr/>
      </w:pPr>
      <w:r>
        <w:rPr/>
        <w:t> </w:t>
      </w:r>
    </w:p>
    <w:p>
      <w:pPr>
        <w:pStyle w:val="TextBody"/>
        <w:bidi w:val="0"/>
        <w:spacing w:before="90" w:after="283"/>
        <w:ind w:left="0" w:right="4292" w:hanging="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90" w:after="283"/>
        <w:ind w:left="0" w:right="4292" w:hanging="0"/>
        <w:jc w:val="center"/>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drawing>
          <wp:inline distT="0" distB="0" distL="0" distR="0">
            <wp:extent cx="1200150" cy="120015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10"/>
                    <a:stretch>
                      <a:fillRect/>
                    </a:stretch>
                  </pic:blipFill>
                  <pic:spPr bwMode="auto">
                    <a:xfrm>
                      <a:off x="0" y="0"/>
                      <a:ext cx="1200150" cy="1200150"/>
                    </a:xfrm>
                    <a:prstGeom prst="rect">
                      <a:avLst/>
                    </a:prstGeom>
                  </pic:spPr>
                </pic:pic>
              </a:graphicData>
            </a:graphic>
          </wp:inline>
        </w:drawing>
      </w:r>
    </w:p>
    <w:p>
      <w:pPr>
        <w:pStyle w:val="TextBody"/>
        <w:bidi w:val="0"/>
        <w:spacing w:before="190" w:after="283"/>
        <w:jc w:val="left"/>
        <w:rPr>
          <w:color w:val="000000"/>
        </w:rPr>
      </w:pPr>
      <w:r>
        <w:rPr>
          <w:color w:val="000000"/>
        </w:rPr>
        <w:t>•</w:t>
      </w:r>
    </w:p>
    <w:p>
      <w:pPr>
        <w:pStyle w:val="TextBody"/>
        <w:bidi w:val="0"/>
        <w:spacing w:before="190" w:after="283"/>
        <w:jc w:val="left"/>
        <w:rPr>
          <w:rFonts w:ascii="Times New Roman" w:hAnsi="Times New Roman"/>
          <w:color w:val="000000"/>
          <w:sz w:val="24"/>
        </w:rPr>
      </w:pPr>
      <w:r>
        <w:rPr>
          <w:rFonts w:ascii="Times New Roman" w:hAnsi="Times New Roman"/>
          <w:color w:val="000000"/>
          <w:sz w:val="24"/>
        </w:rPr>
        <w:t>LIBREVIEW</w:t>
      </w:r>
    </w:p>
    <w:p>
      <w:pPr>
        <w:pStyle w:val="TextBody"/>
        <w:bidi w:val="0"/>
        <w:spacing w:before="242" w:after="283"/>
        <w:jc w:val="left"/>
        <w:rPr>
          <w:color w:val="000000"/>
        </w:rPr>
      </w:pPr>
      <w:r>
        <w:rPr>
          <w:color w:val="000000"/>
        </w:rPr>
        <w:t>•</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LIBRE</w:t>
      </w:r>
    </w:p>
    <w:p>
      <w:pPr>
        <w:pStyle w:val="TextBody"/>
        <w:bidi w:val="0"/>
        <w:spacing w:before="236" w:after="283"/>
        <w:jc w:val="left"/>
        <w:rPr>
          <w:color w:val="000000"/>
        </w:rPr>
      </w:pPr>
      <w:r>
        <w:rPr>
          <w:color w:val="000000"/>
        </w:rPr>
        <w:t>•</w:t>
      </w:r>
    </w:p>
    <w:p>
      <w:pPr>
        <w:pStyle w:val="TextBody"/>
        <w:bidi w:val="0"/>
        <w:spacing w:before="236" w:after="283"/>
        <w:jc w:val="left"/>
        <w:rPr>
          <w:rFonts w:ascii="Times New Roman" w:hAnsi="Times New Roman"/>
          <w:color w:val="000000"/>
          <w:sz w:val="24"/>
        </w:rPr>
      </w:pPr>
      <w:r>
        <w:rPr>
          <w:rFonts w:ascii="Times New Roman" w:hAnsi="Times New Roman"/>
          <w:color w:val="000000"/>
          <w:sz w:val="24"/>
        </w:rPr>
        <w:t>LIBRE 3</w:t>
      </w:r>
    </w:p>
    <w:p>
      <w:pPr>
        <w:pStyle w:val="TextBody"/>
        <w:bidi w:val="0"/>
        <w:spacing w:before="242" w:after="283"/>
        <w:jc w:val="left"/>
        <w:rPr>
          <w:color w:val="000000"/>
        </w:rPr>
      </w:pPr>
      <w:r>
        <w:rPr>
          <w:color w:val="000000"/>
        </w:rPr>
        <w:t>•</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LIBRE 3 PLUS</w:t>
      </w:r>
    </w:p>
    <w:p>
      <w:pPr>
        <w:pStyle w:val="TextBody"/>
        <w:bidi w:val="0"/>
        <w:spacing w:before="242" w:after="283"/>
        <w:jc w:val="left"/>
        <w:rPr>
          <w:color w:val="000000"/>
        </w:rPr>
      </w:pPr>
      <w:r>
        <w:rPr>
          <w:color w:val="000000"/>
        </w:rPr>
        <w:t>•</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LIBRE DUO</w:t>
      </w:r>
    </w:p>
    <w:p>
      <w:pPr>
        <w:pStyle w:val="TextBody"/>
        <w:bidi w:val="0"/>
        <w:spacing w:before="241" w:after="283"/>
        <w:jc w:val="left"/>
        <w:rPr>
          <w:color w:val="000000"/>
        </w:rPr>
      </w:pPr>
      <w:r>
        <w:rPr>
          <w:color w:val="000000"/>
        </w:rPr>
        <w:t>•</w:t>
      </w:r>
    </w:p>
    <w:p>
      <w:pPr>
        <w:pStyle w:val="TextBody"/>
        <w:bidi w:val="0"/>
        <w:spacing w:before="241" w:after="283"/>
        <w:jc w:val="left"/>
        <w:rPr>
          <w:rFonts w:ascii="Times New Roman" w:hAnsi="Times New Roman"/>
          <w:color w:val="000000"/>
          <w:sz w:val="24"/>
        </w:rPr>
      </w:pPr>
      <w:r>
        <w:rPr>
          <w:rFonts w:ascii="Times New Roman" w:hAnsi="Times New Roman"/>
          <w:color w:val="000000"/>
          <w:sz w:val="24"/>
        </w:rPr>
        <w:t>LIBRE DUO 10 DAY</w:t>
      </w:r>
    </w:p>
    <w:p>
      <w:pPr>
        <w:pStyle w:val="TextBody"/>
        <w:bidi w:val="0"/>
        <w:spacing w:before="237" w:after="283"/>
        <w:jc w:val="left"/>
        <w:rPr>
          <w:color w:val="000000"/>
        </w:rPr>
      </w:pPr>
      <w:r>
        <w:rPr>
          <w:color w:val="000000"/>
        </w:rPr>
        <w:t>•</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DESIGNED FOR YOU BY ABBOTT</w:t>
      </w:r>
    </w:p>
    <w:p>
      <w:pPr>
        <w:pStyle w:val="TextBody"/>
        <w:bidi w:val="0"/>
        <w:spacing w:before="239" w:after="283"/>
        <w:jc w:val="left"/>
        <w:rPr>
          <w:color w:val="000000"/>
        </w:rPr>
      </w:pPr>
      <w:r>
        <w:rPr>
          <w:color w:val="000000"/>
        </w:rPr>
        <w:t>•</w:t>
      </w:r>
    </w:p>
    <w:p>
      <w:pPr>
        <w:pStyle w:val="TextBody"/>
        <w:bidi w:val="0"/>
        <w:spacing w:before="239" w:after="283"/>
        <w:jc w:val="left"/>
        <w:rPr/>
      </w:pPr>
      <w:r>
        <w:rPr/>
        <w:drawing>
          <wp:inline distT="0" distB="0" distL="0" distR="0">
            <wp:extent cx="676275" cy="533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11"/>
                    <a:stretch>
                      <a:fillRect/>
                    </a:stretch>
                  </pic:blipFill>
                  <pic:spPr bwMode="auto">
                    <a:xfrm>
                      <a:off x="0" y="0"/>
                      <a:ext cx="676275" cy="533400"/>
                    </a:xfrm>
                    <a:prstGeom prst="rect">
                      <a:avLst/>
                    </a:prstGeom>
                  </pic:spPr>
                </pic:pic>
              </a:graphicData>
            </a:graphic>
          </wp:inline>
        </w:drawing>
      </w:r>
    </w:p>
    <w:p>
      <w:pPr>
        <w:pStyle w:val="TextBody"/>
        <w:bidi w:val="0"/>
        <w:spacing w:before="237" w:after="283"/>
        <w:jc w:val="left"/>
        <w:rPr>
          <w:color w:val="000000"/>
        </w:rPr>
      </w:pPr>
      <w:r>
        <w:rPr>
          <w:color w:val="000000"/>
        </w:rPr>
        <w:t>•</w:t>
      </w:r>
    </w:p>
    <w:p>
      <w:pPr>
        <w:pStyle w:val="TextBody"/>
        <w:bidi w:val="0"/>
        <w:spacing w:before="237" w:after="283"/>
        <w:jc w:val="left"/>
        <w:rPr/>
      </w:pPr>
      <w:r>
        <w:rPr/>
        <w:drawing>
          <wp:inline distT="0" distB="0" distL="0" distR="0">
            <wp:extent cx="1114425" cy="11144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12"/>
                    <a:stretch>
                      <a:fillRect/>
                    </a:stretch>
                  </pic:blipFill>
                  <pic:spPr bwMode="auto">
                    <a:xfrm>
                      <a:off x="0" y="0"/>
                      <a:ext cx="1114425" cy="1114425"/>
                    </a:xfrm>
                    <a:prstGeom prst="rect">
                      <a:avLst/>
                    </a:prstGeom>
                  </pic:spPr>
                </pic:pic>
              </a:graphicData>
            </a:graphic>
          </wp:inline>
        </w:drawing>
      </w:r>
    </w:p>
    <w:p>
      <w:pPr>
        <w:pStyle w:val="TextBody"/>
        <w:bidi w:val="0"/>
        <w:spacing w:before="239" w:after="283"/>
        <w:jc w:val="left"/>
        <w:rPr>
          <w:color w:val="000000"/>
        </w:rPr>
      </w:pPr>
      <w:r>
        <w:rPr>
          <w:color w:val="000000"/>
        </w:rPr>
        <w:t>•</w:t>
      </w:r>
    </w:p>
    <w:p>
      <w:pPr>
        <w:pStyle w:val="TextBody"/>
        <w:bidi w:val="0"/>
        <w:spacing w:before="239" w:after="283"/>
        <w:jc w:val="left"/>
        <w:rPr/>
      </w:pPr>
      <w:r>
        <w:rPr/>
        <w:drawing>
          <wp:inline distT="0" distB="0" distL="0" distR="0">
            <wp:extent cx="1095375" cy="109537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13"/>
                    <a:stretch>
                      <a:fillRect/>
                    </a:stretch>
                  </pic:blipFill>
                  <pic:spPr bwMode="auto">
                    <a:xfrm>
                      <a:off x="0" y="0"/>
                      <a:ext cx="1095375" cy="10953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7" w:after="283"/>
        <w:jc w:val="left"/>
        <w:rPr/>
      </w:pPr>
      <w:r>
        <w:rPr/>
        <w:t> </w:t>
      </w:r>
    </w:p>
    <w:p>
      <w:pPr>
        <w:pStyle w:val="TextBody"/>
        <w:bidi w:val="0"/>
        <w:spacing w:before="1" w:after="283"/>
        <w:jc w:val="left"/>
        <w:rPr>
          <w:color w:val="000000"/>
        </w:rPr>
      </w:pPr>
      <w:r>
        <w:rPr>
          <w:color w:val="000000"/>
        </w:rPr>
        <w:t>•</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(trade dress for sensor on body unit with off-center hole)</w:t>
      </w:r>
    </w:p>
    <w:p>
      <w:pPr>
        <w:pStyle w:val="TextBody"/>
        <w:bidi w:val="0"/>
        <w:spacing w:before="247" w:after="283"/>
        <w:jc w:val="left"/>
        <w:rPr>
          <w:color w:val="000000"/>
        </w:rPr>
      </w:pPr>
      <w:r>
        <w:rPr>
          <w:color w:val="000000"/>
        </w:rPr>
        <w:t>•</w:t>
      </w:r>
    </w:p>
    <w:p>
      <w:pPr>
        <w:pStyle w:val="TextBody"/>
        <w:bidi w:val="0"/>
        <w:spacing w:before="247" w:after="283"/>
        <w:jc w:val="left"/>
        <w:rPr/>
      </w:pPr>
      <w:r>
        <w:rPr/>
        <w:drawing>
          <wp:inline distT="0" distB="0" distL="0" distR="0">
            <wp:extent cx="904875" cy="9906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14"/>
                    <a:stretch>
                      <a:fillRect/>
                    </a:stretch>
                  </pic:blipFill>
                  <pic:spPr bwMode="auto">
                    <a:xfrm>
                      <a:off x="0" y="0"/>
                      <a:ext cx="904875" cy="990600"/>
                    </a:xfrm>
                    <a:prstGeom prst="rect">
                      <a:avLst/>
                    </a:prstGeom>
                  </pic:spPr>
                </pic:pic>
              </a:graphicData>
            </a:graphic>
          </wp:inline>
        </w:drawing>
      </w:r>
      <w:r>
        <w:rPr>
          <w:rFonts w:ascii="Times New Roman" w:hAnsi="Times New Roman"/>
          <w:color w:val="000000"/>
          <w:sz w:val="24"/>
        </w:rPr>
        <w:t>(circle sensor trade dress)</w:t>
      </w:r>
    </w:p>
    <w:p>
      <w:pPr>
        <w:pStyle w:val="TextBody"/>
        <w:bidi w:val="0"/>
        <w:spacing w:before="239" w:after="283"/>
        <w:jc w:val="left"/>
        <w:rPr>
          <w:color w:val="000000"/>
        </w:rPr>
      </w:pPr>
      <w:r>
        <w:rPr>
          <w:color w:val="000000"/>
        </w:rPr>
        <w:t>•</w:t>
      </w:r>
    </w:p>
    <w:p>
      <w:pPr>
        <w:pStyle w:val="TextBody"/>
        <w:bidi w:val="0"/>
        <w:spacing w:before="239" w:after="283"/>
        <w:jc w:val="left"/>
        <w:rPr/>
      </w:pPr>
      <w:r>
        <w:rPr/>
        <w:drawing>
          <wp:inline distT="0" distB="0" distL="0" distR="0">
            <wp:extent cx="790575" cy="93345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5"/>
                    <a:stretch>
                      <a:fillRect/>
                    </a:stretch>
                  </pic:blipFill>
                  <pic:spPr bwMode="auto">
                    <a:xfrm>
                      <a:off x="0" y="0"/>
                      <a:ext cx="790575" cy="933450"/>
                    </a:xfrm>
                    <a:prstGeom prst="rect">
                      <a:avLst/>
                    </a:prstGeom>
                  </pic:spPr>
                </pic:pic>
              </a:graphicData>
            </a:graphic>
          </wp:inline>
        </w:drawing>
      </w:r>
      <w:r>
        <w:rPr>
          <w:color w:val="000000"/>
        </w:rPr>
        <w:t xml:space="preserve"> </w:t>
      </w:r>
      <w:r>
        <w:rPr>
          <w:rFonts w:ascii="Times New Roman" w:hAnsi="Times New Roman"/>
          <w:color w:val="000000"/>
          <w:sz w:val="24"/>
        </w:rPr>
        <w:t>(color yellow trade dress)</w:t>
      </w:r>
    </w:p>
    <w:p>
      <w:pPr>
        <w:pStyle w:val="TextBody"/>
        <w:bidi w:val="0"/>
        <w:spacing w:before="239" w:after="283"/>
        <w:jc w:val="left"/>
        <w:rPr>
          <w:color w:val="000000"/>
        </w:rPr>
      </w:pPr>
      <w:r>
        <w:rPr>
          <w:color w:val="000000"/>
        </w:rPr>
        <w:t>•</w:t>
      </w:r>
    </w:p>
    <w:p>
      <w:pPr>
        <w:pStyle w:val="TextBody"/>
        <w:bidi w:val="0"/>
        <w:spacing w:before="239" w:after="283"/>
        <w:jc w:val="left"/>
        <w:rPr/>
      </w:pPr>
      <w:r>
        <w:rPr/>
        <w:drawing>
          <wp:inline distT="0" distB="0" distL="0" distR="0">
            <wp:extent cx="933450" cy="104775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6"/>
                    <a:stretch>
                      <a:fillRect/>
                    </a:stretch>
                  </pic:blipFill>
                  <pic:spPr bwMode="auto">
                    <a:xfrm>
                      <a:off x="0" y="0"/>
                      <a:ext cx="933450" cy="1047750"/>
                    </a:xfrm>
                    <a:prstGeom prst="rect">
                      <a:avLst/>
                    </a:prstGeom>
                  </pic:spPr>
                </pic:pic>
              </a:graphicData>
            </a:graphic>
          </wp:inline>
        </w:drawing>
      </w:r>
      <w:r>
        <w:rPr>
          <w:color w:val="000000"/>
        </w:rPr>
        <w:t xml:space="preserve"> </w:t>
      </w:r>
      <w:r>
        <w:rPr>
          <w:rFonts w:ascii="Times New Roman" w:hAnsi="Times New Roman"/>
          <w:color w:val="000000"/>
          <w:sz w:val="24"/>
        </w:rPr>
        <w:t>(packaging trade dress)</w:t>
      </w:r>
    </w:p>
    <w:p>
      <w:pPr>
        <w:pStyle w:val="TextBody"/>
        <w:bidi w:val="0"/>
        <w:jc w:val="left"/>
        <w:rPr/>
      </w:pPr>
      <w:r>
        <w:rPr/>
        <w:t> </w:t>
      </w:r>
    </w:p>
    <w:p>
      <w:pPr>
        <w:pStyle w:val="TextBody"/>
        <w:bidi w:val="0"/>
        <w:spacing w:before="252" w:after="283"/>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ind w:left="13" w:right="363" w:hanging="0"/>
        <w:jc w:val="center"/>
        <w:rPr>
          <w:rFonts w:ascii="Times New Roman" w:hAnsi="Times New Roman"/>
          <w:color w:val="000000"/>
          <w:sz w:val="24"/>
          <w:u w:val="single"/>
        </w:rPr>
      </w:pPr>
      <w:r>
        <w:rPr>
          <w:rFonts w:ascii="Times New Roman" w:hAnsi="Times New Roman"/>
          <w:color w:val="000000"/>
          <w:sz w:val="24"/>
          <w:u w:val="single"/>
        </w:rPr>
        <w:t>Exhibit 6.2</w:t>
      </w:r>
    </w:p>
    <w:p>
      <w:pPr>
        <w:pStyle w:val="TextBody"/>
        <w:bidi w:val="0"/>
        <w:spacing w:before="214" w:after="283"/>
        <w:ind w:left="0" w:right="363" w:hanging="0"/>
        <w:jc w:val="center"/>
        <w:rPr>
          <w:rFonts w:ascii="Times New Roman" w:hAnsi="Times New Roman"/>
          <w:b/>
          <w:color w:val="000000"/>
          <w:sz w:val="24"/>
          <w:u w:val="single"/>
        </w:rPr>
      </w:pPr>
      <w:r>
        <w:rPr>
          <w:rFonts w:ascii="Times New Roman" w:hAnsi="Times New Roman"/>
          <w:b/>
          <w:color w:val="000000"/>
          <w:sz w:val="24"/>
          <w:u w:val="single"/>
        </w:rPr>
        <w:t>Use Guidelines For ADC Trade Dress Marks</w:t>
      </w:r>
    </w:p>
    <w:p>
      <w:pPr>
        <w:pStyle w:val="TextBody"/>
        <w:bidi w:val="0"/>
        <w:spacing w:before="192"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These use guidelines are provided to support proper trademark use of ADC’s valuable</w:t>
      </w:r>
    </w:p>
    <w:p>
      <w:pPr>
        <w:pStyle w:val="TextBody"/>
        <w:bidi w:val="0"/>
        <w:spacing w:before="9" w:after="283"/>
        <w:ind w:left="0" w:right="309" w:hanging="0"/>
        <w:jc w:val="left"/>
        <w:rPr>
          <w:rFonts w:ascii="Times New Roman" w:hAnsi="Times New Roman"/>
          <w:color w:val="000000"/>
          <w:sz w:val="24"/>
        </w:rPr>
      </w:pPr>
      <w:r>
        <w:rPr>
          <w:rFonts w:ascii="Times New Roman" w:hAnsi="Times New Roman"/>
          <w:color w:val="000000"/>
          <w:sz w:val="24"/>
        </w:rPr>
        <w:t>Trademarks for the three-dimensional shape and appearance of ADC sensors (“ADC Circle Sensor Trade Dress”), and ADC’s valuable color yellow Trademark for diabetes management and analyte monitoring products (“ADC Yellow Trade Dress”), together the “ADC Trade Dress Marks”.</w:t>
      </w:r>
    </w:p>
    <w:p>
      <w:pPr>
        <w:pStyle w:val="TextBody"/>
        <w:bidi w:val="0"/>
        <w:spacing w:before="228" w:after="283"/>
        <w:jc w:val="left"/>
        <w:rPr>
          <w:rFonts w:ascii="Times New Roman" w:hAnsi="Times New Roman"/>
          <w:color w:val="000000"/>
          <w:sz w:val="24"/>
        </w:rPr>
      </w:pPr>
      <w:r>
        <w:rPr>
          <w:rFonts w:ascii="Times New Roman" w:hAnsi="Times New Roman"/>
          <w:color w:val="000000"/>
          <w:sz w:val="24"/>
        </w:rPr>
        <w:t>Pictured below are images illustrating the ADC Trade Dress Marks for easy reference:</w:t>
      </w:r>
    </w:p>
    <w:p>
      <w:pPr>
        <w:pStyle w:val="TextBody"/>
        <w:bidi w:val="0"/>
        <w:spacing w:before="1" w:after="283"/>
        <w:jc w:val="left"/>
        <w:rPr/>
      </w:pPr>
      <w:r>
        <w:rPr/>
        <w:drawing>
          <wp:inline distT="0" distB="0" distL="0" distR="0">
            <wp:extent cx="942975" cy="97155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7"/>
                    <a:stretch>
                      <a:fillRect/>
                    </a:stretch>
                  </pic:blipFill>
                  <pic:spPr bwMode="auto">
                    <a:xfrm>
                      <a:off x="0" y="0"/>
                      <a:ext cx="942975" cy="971550"/>
                    </a:xfrm>
                    <a:prstGeom prst="rect">
                      <a:avLst/>
                    </a:prstGeom>
                  </pic:spPr>
                </pic:pic>
              </a:graphicData>
            </a:graphic>
          </wp:inline>
        </w:drawing>
      </w:r>
      <w:r>
        <w:rPr/>
        <w:drawing>
          <wp:inline distT="0" distB="0" distL="0" distR="0">
            <wp:extent cx="885825" cy="971550"/>
            <wp:effectExtent l="0" t="0" r="0" b="0"/>
            <wp:docPr id="1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2" descr=""/>
                    <pic:cNvPicPr>
                      <a:picLocks noChangeAspect="1" noChangeArrowheads="1"/>
                    </pic:cNvPicPr>
                  </pic:nvPicPr>
                  <pic:blipFill>
                    <a:blip r:embed="rId18"/>
                    <a:stretch>
                      <a:fillRect/>
                    </a:stretch>
                  </pic:blipFill>
                  <pic:spPr bwMode="auto">
                    <a:xfrm>
                      <a:off x="0" y="0"/>
                      <a:ext cx="885825" cy="971550"/>
                    </a:xfrm>
                    <a:prstGeom prst="rect">
                      <a:avLst/>
                    </a:prstGeom>
                  </pic:spPr>
                </pic:pic>
              </a:graphicData>
            </a:graphic>
          </wp:inline>
        </w:drawing>
      </w:r>
      <w:r>
        <w:rPr/>
        <w:drawing>
          <wp:inline distT="0" distB="0" distL="0" distR="0">
            <wp:extent cx="923925" cy="1038225"/>
            <wp:effectExtent l="0" t="0" r="0" b="0"/>
            <wp:docPr id="1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3" descr=""/>
                    <pic:cNvPicPr>
                      <a:picLocks noChangeAspect="1" noChangeArrowheads="1"/>
                    </pic:cNvPicPr>
                  </pic:nvPicPr>
                  <pic:blipFill>
                    <a:blip r:embed="rId19"/>
                    <a:stretch>
                      <a:fillRect/>
                    </a:stretch>
                  </pic:blipFill>
                  <pic:spPr bwMode="auto">
                    <a:xfrm>
                      <a:off x="0" y="0"/>
                      <a:ext cx="923925" cy="1038225"/>
                    </a:xfrm>
                    <a:prstGeom prst="rect">
                      <a:avLst/>
                    </a:prstGeom>
                  </pic:spPr>
                </pic:pic>
              </a:graphicData>
            </a:graphic>
          </wp:inline>
        </w:drawing>
      </w:r>
      <w:r>
        <w:rPr/>
        <w:drawing>
          <wp:inline distT="0" distB="0" distL="0" distR="0">
            <wp:extent cx="790575" cy="923925"/>
            <wp:effectExtent l="0" t="0" r="0" b="0"/>
            <wp:docPr id="1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4" descr=""/>
                    <pic:cNvPicPr>
                      <a:picLocks noChangeAspect="1" noChangeArrowheads="1"/>
                    </pic:cNvPicPr>
                  </pic:nvPicPr>
                  <pic:blipFill>
                    <a:blip r:embed="rId20"/>
                    <a:stretch>
                      <a:fillRect/>
                    </a:stretch>
                  </pic:blipFill>
                  <pic:spPr bwMode="auto">
                    <a:xfrm>
                      <a:off x="0" y="0"/>
                      <a:ext cx="790575" cy="923925"/>
                    </a:xfrm>
                    <a:prstGeom prst="rect">
                      <a:avLst/>
                    </a:prstGeom>
                  </pic:spPr>
                </pic:pic>
              </a:graphicData>
            </a:graphic>
          </wp:inline>
        </w:drawing>
      </w:r>
    </w:p>
    <w:p>
      <w:pPr>
        <w:pStyle w:val="Heading2"/>
        <w:bidi w:val="0"/>
        <w:spacing w:before="232" w:after="283"/>
        <w:jc w:val="left"/>
        <w:rPr>
          <w:rFonts w:ascii="Times New Roman" w:hAnsi="Times New Roman"/>
          <w:color w:val="006FC0"/>
          <w:sz w:val="24"/>
        </w:rPr>
      </w:pPr>
      <w:r>
        <w:rPr>
          <w:rFonts w:ascii="Times New Roman" w:hAnsi="Times New Roman"/>
          <w:color w:val="006FC0"/>
          <w:sz w:val="24"/>
        </w:rPr>
        <w:t>Written Trademark Notice Required:</w:t>
      </w:r>
    </w:p>
    <w:p>
      <w:pPr>
        <w:pStyle w:val="TextBody"/>
        <w:bidi w:val="0"/>
        <w:spacing w:before="275" w:after="283"/>
        <w:ind w:left="0" w:right="747" w:hanging="0"/>
        <w:jc w:val="both"/>
        <w:rPr>
          <w:rFonts w:ascii="Times New Roman" w:hAnsi="Times New Roman"/>
          <w:color w:val="000000"/>
          <w:sz w:val="24"/>
        </w:rPr>
      </w:pPr>
      <w:r>
        <w:rPr>
          <w:rFonts w:ascii="Times New Roman" w:hAnsi="Times New Roman"/>
          <w:color w:val="000000"/>
          <w:sz w:val="24"/>
        </w:rPr>
        <w:t>When ADC Trade Dress Marks are used, the following trademark notice must be included in legible form to notify the audience that such Trademarks are symbols that identify the Abbott group of companies (including ADC):</w:t>
      </w:r>
    </w:p>
    <w:p>
      <w:pPr>
        <w:pStyle w:val="Heading2"/>
        <w:bidi w:val="0"/>
        <w:spacing w:before="248" w:after="283"/>
        <w:ind w:left="721" w:right="705" w:hanging="0"/>
        <w:jc w:val="both"/>
        <w:rPr>
          <w:color w:val="000000"/>
        </w:rPr>
      </w:pPr>
      <w:r>
        <w:rPr>
          <w:color w:val="000000"/>
        </w:rPr>
        <w:t>“</w:t>
      </w:r>
      <w:r>
        <w:rPr>
          <w:rFonts w:ascii="Times New Roman" w:hAnsi="Times New Roman"/>
          <w:color w:val="000000"/>
          <w:sz w:val="24"/>
        </w:rPr>
        <w:t>Libre, the butterfly logo, the sensor shape and appearance, the color yellow, and related marks and/or designs are the intellectual property of the Abbott group of companies in various territories and used under license.”</w:t>
      </w:r>
    </w:p>
    <w:p>
      <w:pPr>
        <w:pStyle w:val="TextBody"/>
        <w:pBdr/>
        <w:bidi w:val="0"/>
        <w:spacing w:before="227" w:after="283"/>
        <w:ind w:left="0" w:right="0" w:hanging="721"/>
        <w:jc w:val="left"/>
        <w:rPr>
          <w:rFonts w:ascii="Times New Roman" w:hAnsi="Times New Roman"/>
          <w:color w:val="000000"/>
          <w:sz w:val="24"/>
        </w:rPr>
      </w:pPr>
      <w:r>
        <w:rPr>
          <w:rFonts w:ascii="Times New Roman" w:hAnsi="Times New Roman"/>
          <w:color w:val="000000"/>
          <w:sz w:val="24"/>
        </w:rPr>
        <w:t>If space does not permit use of the full notice above, the following short version may be used:</w:t>
      </w:r>
    </w:p>
    <w:p>
      <w:pPr>
        <w:pStyle w:val="Heading2"/>
        <w:bidi w:val="0"/>
        <w:spacing w:before="241" w:after="283"/>
        <w:ind w:left="721" w:right="654" w:hanging="0"/>
        <w:jc w:val="both"/>
        <w:rPr>
          <w:color w:val="000000"/>
        </w:rPr>
      </w:pPr>
      <w:r>
        <w:rPr>
          <w:color w:val="000000"/>
        </w:rPr>
        <w:t>“</w:t>
      </w:r>
      <w:r>
        <w:rPr>
          <w:rFonts w:ascii="Times New Roman" w:hAnsi="Times New Roman"/>
          <w:color w:val="000000"/>
          <w:sz w:val="24"/>
        </w:rPr>
        <w:t>Libre and the sensor shape and appearance are marks of Abbott and used under license.”</w:t>
      </w:r>
    </w:p>
    <w:p>
      <w:pPr>
        <w:pStyle w:val="TextBody"/>
        <w:bidi w:val="0"/>
        <w:spacing w:before="247" w:after="283"/>
        <w:jc w:val="left"/>
        <w:rPr>
          <w:rFonts w:ascii="Times New Roman" w:hAnsi="Times New Roman"/>
          <w:sz w:val="20"/>
        </w:rPr>
      </w:pPr>
      <w:r>
        <w:rPr>
          <w:rFonts w:ascii="Times New Roman" w:hAnsi="Times New Roman"/>
          <w:color w:val="000000"/>
          <w:sz w:val="24"/>
        </w:rPr>
        <w:t>Reach out to Abbott and/or trademarks@abbott.com</w:t>
      </w:r>
      <w:r>
        <w:rPr>
          <w:rFonts w:ascii="Times New Roman" w:hAnsi="Times New Roman"/>
          <w:color w:val="0000FF"/>
          <w:sz w:val="20"/>
        </w:rPr>
        <w:t xml:space="preserve"> </w:t>
      </w:r>
      <w:r>
        <w:rPr>
          <w:rFonts w:ascii="Times New Roman" w:hAnsi="Times New Roman"/>
          <w:color w:val="000000"/>
          <w:sz w:val="24"/>
        </w:rPr>
        <w:t>for guidance on notice placement and other alternative notices (e.g. when not all Trademarks listed above are used).</w:t>
      </w:r>
    </w:p>
    <w:p>
      <w:pPr>
        <w:pStyle w:val="Heading2"/>
        <w:bidi w:val="0"/>
        <w:spacing w:before="230" w:after="283"/>
        <w:jc w:val="left"/>
        <w:rPr>
          <w:rFonts w:ascii="Times New Roman" w:hAnsi="Times New Roman"/>
          <w:color w:val="006FC0"/>
          <w:sz w:val="24"/>
        </w:rPr>
      </w:pPr>
      <w:r>
        <w:rPr>
          <w:rFonts w:ascii="Times New Roman" w:hAnsi="Times New Roman"/>
          <w:color w:val="006FC0"/>
          <w:sz w:val="24"/>
        </w:rPr>
        <w:t>Legal Trademark Use Guidance for ADC Circle Sensor Trade Dress:</w:t>
      </w:r>
    </w:p>
    <w:p>
      <w:pPr>
        <w:pStyle w:val="TextBody"/>
        <w:bidi w:val="0"/>
        <w:spacing w:before="240" w:after="283"/>
        <w:ind w:left="360" w:right="576" w:hanging="0"/>
        <w:jc w:val="left"/>
        <w:rPr>
          <w:color w:val="000000"/>
        </w:rPr>
      </w:pPr>
      <w:r>
        <w:rPr>
          <w:color w:val="000000"/>
        </w:rPr>
        <w:t>•</w:t>
      </w:r>
    </w:p>
    <w:p>
      <w:pPr>
        <w:pStyle w:val="TextBody"/>
        <w:bidi w:val="0"/>
        <w:spacing w:before="240" w:after="283"/>
        <w:jc w:val="left"/>
        <w:rPr/>
      </w:pPr>
      <w:r>
        <w:rPr>
          <w:rFonts w:ascii="Times New Roman" w:hAnsi="Times New Roman"/>
          <w:color w:val="000000"/>
          <w:sz w:val="24"/>
        </w:rPr>
        <w:t>Ensure the overall context of each use makes it clear that the ADC Circle Sensor Trade Dress identifies Abbott as the source of the product(s). For example “</w:t>
      </w:r>
      <w:r>
        <w:rPr>
          <w:rFonts w:ascii="Times New Roman" w:hAnsi="Times New Roman"/>
          <w:b/>
          <w:color w:val="000000"/>
          <w:sz w:val="24"/>
        </w:rPr>
        <w:t>Designed for you by Abbott</w:t>
      </w:r>
      <w:r>
        <w:rPr>
          <w:color w:val="000000"/>
        </w:rPr>
        <w:t xml:space="preserve">” </w:t>
      </w:r>
      <w:r>
        <w:rPr>
          <w:rFonts w:ascii="Times New Roman" w:hAnsi="Times New Roman"/>
          <w:color w:val="000000"/>
          <w:sz w:val="24"/>
        </w:rPr>
        <w:t>is an appropriate call out when an ADC Sensor is pictured. The call out should be in close proximity to the image.</w:t>
      </w:r>
    </w:p>
    <w:p>
      <w:pPr>
        <w:pStyle w:val="TextBody"/>
        <w:bidi w:val="0"/>
        <w:spacing w:before="253" w:after="283"/>
        <w:ind w:left="360" w:right="922" w:hanging="0"/>
        <w:jc w:val="left"/>
        <w:rPr>
          <w:color w:val="000000"/>
        </w:rPr>
      </w:pPr>
      <w:r>
        <w:rPr>
          <w:color w:val="000000"/>
        </w:rPr>
        <w:t>•</w:t>
      </w:r>
    </w:p>
    <w:p>
      <w:pPr>
        <w:pStyle w:val="TextBody"/>
        <w:bidi w:val="0"/>
        <w:spacing w:before="253" w:after="283"/>
        <w:jc w:val="left"/>
        <w:rPr>
          <w:rFonts w:ascii="Times New Roman" w:hAnsi="Times New Roman"/>
          <w:color w:val="000000"/>
          <w:sz w:val="24"/>
        </w:rPr>
      </w:pPr>
      <w:r>
        <w:rPr>
          <w:rFonts w:ascii="Times New Roman" w:hAnsi="Times New Roman"/>
          <w:color w:val="000000"/>
          <w:sz w:val="24"/>
        </w:rPr>
        <w:t>DO use the ADC Circle Sensor Trade Dress in a standalone manner (in presentation forms approved by ADC) in addition to showing sensors in use.</w:t>
      </w:r>
    </w:p>
    <w:p>
      <w:pPr>
        <w:pStyle w:val="TextBody"/>
        <w:bidi w:val="0"/>
        <w:spacing w:before="221" w:after="283"/>
        <w:ind w:left="360" w:right="0" w:hanging="0"/>
        <w:jc w:val="left"/>
        <w:rPr>
          <w:color w:val="000000"/>
        </w:rPr>
      </w:pPr>
      <w:r>
        <w:rPr>
          <w:color w:val="000000"/>
        </w:rPr>
        <w:t>•</w:t>
      </w:r>
    </w:p>
    <w:p>
      <w:pPr>
        <w:pStyle w:val="TextBody"/>
        <w:bidi w:val="0"/>
        <w:spacing w:before="221" w:after="283"/>
        <w:jc w:val="left"/>
        <w:rPr>
          <w:rFonts w:ascii="Times New Roman" w:hAnsi="Times New Roman"/>
          <w:color w:val="000000"/>
          <w:sz w:val="24"/>
        </w:rPr>
      </w:pPr>
      <w:r>
        <w:rPr>
          <w:rFonts w:ascii="Times New Roman" w:hAnsi="Times New Roman"/>
          <w:color w:val="000000"/>
          <w:sz w:val="24"/>
        </w:rPr>
        <w:t>DO picture the full ADC Sensor shape and appearance.</w:t>
      </w:r>
    </w:p>
    <w:p>
      <w:pPr>
        <w:pStyle w:val="TextBody"/>
        <w:bidi w:val="0"/>
        <w:jc w:val="left"/>
        <w:rPr/>
      </w:pPr>
      <w:r>
        <w:rPr/>
        <w:t> </w:t>
      </w:r>
    </w:p>
    <w:p>
      <w:pPr>
        <w:pStyle w:val="TextBody"/>
        <w:bidi w:val="0"/>
        <w:spacing w:before="225" w:after="283"/>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ind w:left="0" w:right="360" w:hanging="0"/>
        <w:jc w:val="right"/>
        <w:rPr/>
      </w:pPr>
      <w:r>
        <w:rPr/>
        <w:t> </w:t>
      </w:r>
    </w:p>
    <w:p>
      <w:pPr>
        <w:pStyle w:val="TextBody"/>
        <w:bidi w:val="0"/>
        <w:jc w:val="right"/>
        <w:rPr/>
      </w:pPr>
      <w:r>
        <w:rPr/>
        <w:t> </w:t>
      </w:r>
    </w:p>
    <w:p>
      <w:pPr>
        <w:pStyle w:val="TextBody"/>
        <w:bidi w:val="0"/>
        <w:spacing w:before="1" w:after="283"/>
        <w:ind w:left="360" w:right="0" w:hanging="0"/>
        <w:jc w:val="left"/>
        <w:rPr>
          <w:color w:val="000000"/>
        </w:rPr>
      </w:pPr>
      <w:r>
        <w:rPr>
          <w:color w:val="000000"/>
        </w:rPr>
        <w:t>•</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Do NOT:</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cut off portions of the ADC Sensors in imagery</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cover ADC Sensors with a sleeve or overpatch</w:t>
      </w:r>
    </w:p>
    <w:p>
      <w:pPr>
        <w:pStyle w:val="TextBody"/>
        <w:bidi w:val="0"/>
        <w:spacing w:before="200" w:after="283"/>
        <w:ind w:left="360" w:right="0" w:hanging="0"/>
        <w:jc w:val="left"/>
        <w:rPr>
          <w:color w:val="000000"/>
        </w:rPr>
      </w:pPr>
      <w:r>
        <w:rPr>
          <w:color w:val="000000"/>
        </w:rPr>
        <w:t>•</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Do NOT place additional images, logos, or text over ADC Sensor imagery.</w:t>
      </w:r>
    </w:p>
    <w:p>
      <w:pPr>
        <w:pStyle w:val="TextBody"/>
        <w:bidi w:val="0"/>
        <w:spacing w:before="244" w:after="283"/>
        <w:ind w:left="360" w:right="418" w:hanging="0"/>
        <w:jc w:val="left"/>
        <w:rPr>
          <w:color w:val="000000"/>
        </w:rPr>
      </w:pPr>
      <w:r>
        <w:rPr>
          <w:color w:val="000000"/>
        </w:rPr>
        <w:t>•</w:t>
      </w:r>
    </w:p>
    <w:p>
      <w:pPr>
        <w:pStyle w:val="TextBody"/>
        <w:bidi w:val="0"/>
        <w:spacing w:before="244" w:after="283"/>
        <w:jc w:val="left"/>
        <w:rPr>
          <w:rFonts w:ascii="Times New Roman" w:hAnsi="Times New Roman"/>
          <w:color w:val="000000"/>
          <w:sz w:val="24"/>
        </w:rPr>
      </w:pPr>
      <w:r>
        <w:rPr>
          <w:rFonts w:ascii="Times New Roman" w:hAnsi="Times New Roman"/>
          <w:color w:val="000000"/>
          <w:sz w:val="24"/>
        </w:rPr>
        <w:t>DO exercise caution in statements that reference ADC Sensor shape and/or appearance. Do NOT make statements suggesting the shape and/or appearance of the ADC Sensors is related to any useful aspect of the sensors. It is important that it is always clear that the unique shape and appearance of the ADC Sensors are ornamental. Here are examples of acceptable and unacceptable statements:</w:t>
      </w:r>
    </w:p>
    <w:p>
      <w:pPr>
        <w:pStyle w:val="TextBody"/>
        <w:bidi w:val="0"/>
        <w:spacing w:before="223" w:after="283"/>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223" w:after="283"/>
        <w:jc w:val="left"/>
        <w:rPr>
          <w:rFonts w:ascii="Times New Roman" w:hAnsi="Times New Roman"/>
          <w:color w:val="000000"/>
          <w:sz w:val="24"/>
        </w:rPr>
      </w:pPr>
      <w:r>
        <w:rPr>
          <w:rFonts w:ascii="Times New Roman" w:hAnsi="Times New Roman"/>
          <w:color w:val="000000"/>
          <w:sz w:val="24"/>
        </w:rPr>
        <w:t>NO: The shape of the sensor keeps it from catching on my clothing.</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YES: The unique shape of the sensor identifies that it is made by Abbott.</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YES: The unique circular appearance of the sensor is a symbol of Abbott quality.</w:t>
      </w:r>
    </w:p>
    <w:p>
      <w:pPr>
        <w:pStyle w:val="TextBody"/>
        <w:bidi w:val="0"/>
        <w:spacing w:before="225" w:after="283"/>
        <w:ind w:left="360" w:right="648" w:hanging="0"/>
        <w:jc w:val="left"/>
        <w:rPr>
          <w:color w:val="000000"/>
        </w:rPr>
      </w:pPr>
      <w:r>
        <w:rPr>
          <w:color w:val="000000"/>
        </w:rPr>
        <w:t>•</w:t>
      </w:r>
    </w:p>
    <w:p>
      <w:pPr>
        <w:pStyle w:val="TextBody"/>
        <w:bidi w:val="0"/>
        <w:spacing w:before="225" w:after="283"/>
        <w:jc w:val="left"/>
        <w:rPr>
          <w:rFonts w:ascii="Times New Roman" w:hAnsi="Times New Roman"/>
          <w:color w:val="000000"/>
          <w:sz w:val="24"/>
        </w:rPr>
      </w:pPr>
      <w:r>
        <w:rPr>
          <w:rFonts w:ascii="Times New Roman" w:hAnsi="Times New Roman"/>
          <w:color w:val="000000"/>
          <w:sz w:val="24"/>
        </w:rPr>
        <w:t>Do NOT visually call out the ADC Sensor shape or appearance in combination with a benefit statement. The example below is not acceptable because the broken line emphasizes the circular shape of the sensor alongside the words “Comfortable design”. This may be interpreted to erroneously suggest the circular design is what makes the sensor comfortable:</w:t>
      </w:r>
    </w:p>
    <w:p>
      <w:pPr>
        <w:pStyle w:val="TextBody"/>
        <w:bidi w:val="0"/>
        <w:spacing w:before="274" w:after="283"/>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274" w:after="283"/>
        <w:jc w:val="left"/>
        <w:rPr>
          <w:rFonts w:ascii="Times New Roman" w:hAnsi="Times New Roman"/>
          <w:color w:val="000000"/>
          <w:sz w:val="24"/>
        </w:rPr>
      </w:pPr>
      <w:r>
        <w:rPr>
          <w:rFonts w:ascii="Times New Roman" w:hAnsi="Times New Roman"/>
          <w:color w:val="000000"/>
          <w:sz w:val="24"/>
        </w:rPr>
        <w:t>NO:</w:t>
      </w:r>
    </w:p>
    <w:p>
      <w:pPr>
        <w:pStyle w:val="TextBody"/>
        <w:bidi w:val="0"/>
        <w:ind w:left="2220" w:right="0" w:hanging="0"/>
        <w:jc w:val="left"/>
        <w:rPr/>
      </w:pPr>
      <w:r>
        <w:rPr/>
        <w:drawing>
          <wp:inline distT="0" distB="0" distL="0" distR="0">
            <wp:extent cx="1581150" cy="1209675"/>
            <wp:effectExtent l="0" t="0" r="0" b="0"/>
            <wp:docPr id="1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5" descr=""/>
                    <pic:cNvPicPr>
                      <a:picLocks noChangeAspect="1" noChangeArrowheads="1"/>
                    </pic:cNvPicPr>
                  </pic:nvPicPr>
                  <pic:blipFill>
                    <a:blip r:embed="rId21"/>
                    <a:stretch>
                      <a:fillRect/>
                    </a:stretch>
                  </pic:blipFill>
                  <pic:spPr bwMode="auto">
                    <a:xfrm>
                      <a:off x="0" y="0"/>
                      <a:ext cx="1581150" cy="1209675"/>
                    </a:xfrm>
                    <a:prstGeom prst="rect">
                      <a:avLst/>
                    </a:prstGeom>
                  </pic:spPr>
                </pic:pic>
              </a:graphicData>
            </a:graphic>
          </wp:inline>
        </w:drawing>
      </w:r>
    </w:p>
    <w:p>
      <w:pPr>
        <w:pStyle w:val="TextBody"/>
        <w:bidi w:val="0"/>
        <w:spacing w:before="0" w:after="0"/>
        <w:ind w:left="360" w:right="1037" w:hanging="0"/>
        <w:jc w:val="left"/>
        <w:rPr>
          <w:color w:val="000000"/>
        </w:rPr>
      </w:pPr>
      <w:r>
        <w:rPr>
          <w:color w:val="000000"/>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Do NOT make statements suggesting that all analyte sensors or continuous analyte monitoring systems (CGMs) are circular:</w:t>
      </w:r>
    </w:p>
    <w:p>
      <w:pPr>
        <w:pStyle w:val="TextBody"/>
        <w:bidi w:val="0"/>
        <w:spacing w:before="214" w:after="283"/>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214" w:after="283"/>
        <w:jc w:val="left"/>
        <w:rPr>
          <w:rFonts w:ascii="Times New Roman" w:hAnsi="Times New Roman"/>
          <w:color w:val="000000"/>
          <w:sz w:val="24"/>
        </w:rPr>
      </w:pPr>
      <w:r>
        <w:rPr>
          <w:rFonts w:ascii="Times New Roman" w:hAnsi="Times New Roman"/>
          <w:color w:val="000000"/>
          <w:sz w:val="24"/>
        </w:rPr>
        <w:t>NO: This is a CGM.</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 CGMs are circular devices worn on the upper arm.</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 Sensors for glucose monitoring are discs.</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NO: CGMs are quarter-sized.</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YES: This CGM is made by Abbott.</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YES: This circular CGM is made by Abbott.</w:t>
      </w:r>
    </w:p>
    <w:p>
      <w:pPr>
        <w:pStyle w:val="TextBody"/>
        <w:bidi w:val="0"/>
        <w:spacing w:before="0" w:after="0"/>
        <w:ind w:left="1080" w:right="0" w:hanging="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Times New Roman" w:hAnsi="Times New Roman"/>
          <w:color w:val="000000"/>
          <w:sz w:val="24"/>
        </w:rPr>
      </w:pPr>
      <w:r>
        <w:rPr>
          <w:rFonts w:ascii="Times New Roman" w:hAnsi="Times New Roman"/>
          <w:color w:val="000000"/>
          <w:sz w:val="24"/>
        </w:rPr>
        <w:t>YES: Abbott sensors are recognizable by their unique shape</w:t>
      </w:r>
    </w:p>
    <w:p>
      <w:pPr>
        <w:pStyle w:val="TextBody"/>
        <w:bidi w:val="0"/>
        <w:spacing w:before="246" w:after="283"/>
        <w:jc w:val="left"/>
        <w:rPr>
          <w:rFonts w:ascii="Times New Roman" w:hAnsi="Times New Roman"/>
          <w:color w:val="000000"/>
          <w:sz w:val="24"/>
        </w:rPr>
      </w:pPr>
      <w:r>
        <w:rPr>
          <w:rFonts w:ascii="Times New Roman" w:hAnsi="Times New Roman"/>
          <w:color w:val="000000"/>
          <w:sz w:val="24"/>
        </w:rPr>
        <w:t>Following this guidance is important to strengthen and maintain awareness that the shape and appearance of Abbott sensors are unique to the Abbott group of companies, and serve to identify products sourced from the Abbott group of companies only.</w:t>
      </w:r>
    </w:p>
    <w:p>
      <w:pPr>
        <w:pStyle w:val="Heading2"/>
        <w:bidi w:val="0"/>
        <w:spacing w:before="229" w:after="283"/>
        <w:jc w:val="left"/>
        <w:rPr>
          <w:rFonts w:ascii="Times New Roman" w:hAnsi="Times New Roman"/>
          <w:color w:val="006FC0"/>
          <w:sz w:val="24"/>
        </w:rPr>
      </w:pPr>
      <w:r>
        <w:rPr>
          <w:rFonts w:ascii="Times New Roman" w:hAnsi="Times New Roman"/>
          <w:color w:val="006FC0"/>
          <w:sz w:val="24"/>
        </w:rPr>
        <w:t>Copyright Recognition for ADC Glucose Sensor Images:</w:t>
      </w:r>
    </w:p>
    <w:p>
      <w:pPr>
        <w:pStyle w:val="TextBody"/>
        <w:bidi w:val="0"/>
        <w:spacing w:before="243" w:after="283"/>
        <w:ind w:left="0" w:right="129" w:hanging="0"/>
        <w:jc w:val="left"/>
        <w:rPr>
          <w:rFonts w:ascii="Times New Roman" w:hAnsi="Times New Roman"/>
          <w:sz w:val="20"/>
        </w:rPr>
      </w:pPr>
      <w:r>
        <w:rPr>
          <w:rFonts w:ascii="Times New Roman" w:hAnsi="Times New Roman"/>
          <w:color w:val="000000"/>
          <w:sz w:val="24"/>
        </w:rPr>
        <w:t xml:space="preserve">When sensor images of ADC sensors owned by the Abbott group of companies are used, include this copyright notice: </w:t>
      </w:r>
      <w:r>
        <w:rPr>
          <w:rFonts w:ascii="Times New Roman" w:hAnsi="Times New Roman"/>
          <w:color w:val="000000"/>
          <w:sz w:val="20"/>
        </w:rPr>
        <w:t>“</w:t>
      </w:r>
      <w:r>
        <w:rPr>
          <w:rFonts w:ascii="Times New Roman" w:hAnsi="Times New Roman"/>
          <w:b/>
          <w:color w:val="000000"/>
          <w:sz w:val="24"/>
        </w:rPr>
        <w:t>Sensor image © 2025 Abbott and used with permission.”</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bbnx-ex31_1.htm"/>
      <w:bookmarkStart w:id="26" w:name="ksbbnxex31_1"/>
      <w:bookmarkEnd w:id="25"/>
      <w:bookmarkEnd w:id="26"/>
      <w:r>
        <w:rPr>
          <w:rFonts w:ascii="Times New Roman" w:hAnsi="Times New Roman"/>
          <w:b/>
          <w:color w:val="000000"/>
          <w:sz w:val="20"/>
        </w:rPr>
        <w:t>Exhibit 31.1</w:t>
      </w:r>
      <w:r>
        <w:br w:type="page"/>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RULE 13a-14(a) AND 15d-14(a) OF THE SECURITIES 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Sean Saint,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 I have reviewed this Quarterly Report on Form 10-Q of Beta Bionics, Inc.;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 July 29, 2026</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/s/ Sean Saint </w:t>
      </w:r>
    </w:p>
    <w:p>
      <w:pPr>
        <w:pStyle w:val="TextBody"/>
        <w:bidi w:val="0"/>
        <w:jc w:val="left"/>
        <w:rPr>
          <w:rFonts w:ascii="Times New Roman" w:hAnsi="Times New Roman"/>
          <w:color w:val="000000"/>
          <w:sz w:val="20"/>
        </w:rPr>
      </w:pPr>
      <w:r>
        <w:rPr>
          <w:rFonts w:ascii="Times New Roman" w:hAnsi="Times New Roman"/>
          <w:color w:val="000000"/>
          <w:sz w:val="20"/>
        </w:rPr>
        <w:t>Sean Saint</w:t>
      </w:r>
    </w:p>
    <w:p>
      <w:pPr>
        <w:pStyle w:val="TextBody"/>
        <w:bidi w:val="0"/>
        <w:jc w:val="left"/>
        <w:rPr>
          <w:rFonts w:ascii="Times New Roman" w:hAnsi="Times New Roman"/>
          <w:color w:val="000000"/>
          <w:sz w:val="20"/>
        </w:rPr>
      </w:pPr>
      <w:r>
        <w:rPr>
          <w:rFonts w:ascii="Times New Roman" w:hAnsi="Times New Roman"/>
          <w:color w:val="000000"/>
          <w:sz w:val="20"/>
        </w:rPr>
        <w:t>President, Chief Executive Officer and Director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bbnx-ex31_2.htm"/>
      <w:bookmarkStart w:id="28" w:name="ksbbnxex31_2"/>
      <w:bookmarkEnd w:id="27"/>
      <w:bookmarkEnd w:id="28"/>
      <w:r>
        <w:rPr>
          <w:rFonts w:ascii="Times New Roman" w:hAnsi="Times New Roman"/>
          <w:b/>
          <w:color w:val="000000"/>
          <w:sz w:val="20"/>
        </w:rPr>
        <w:t>Exhibit 31.2</w:t>
      </w:r>
      <w:r>
        <w:br w:type="page"/>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RULE 13a-14(a) AND 15d-14(a) OF THE SECURITIES EXCHANGE ACT OF 1934,</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Stephen Feider, certify that: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 I have reviewed this Quarterly Report on Form 10-Q of Beta Bionics, Inc.;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Date: July 29, 2026</w:t>
      </w:r>
    </w:p>
    <w:p>
      <w:pPr>
        <w:pStyle w:val="TextBody"/>
        <w:bidi w:val="0"/>
        <w:spacing w:before="60" w:after="283"/>
        <w:jc w:val="left"/>
        <w:rPr>
          <w:rFonts w:ascii="Times New Roman" w:hAnsi="Times New Roman"/>
          <w:color w:val="000000"/>
          <w:sz w:val="20"/>
          <w:u w:val="single"/>
        </w:rPr>
      </w:pPr>
      <w:r>
        <w:rPr>
          <w:rFonts w:ascii="Times New Roman" w:hAnsi="Times New Roman"/>
          <w:color w:val="000000"/>
          <w:sz w:val="20"/>
          <w:u w:val="single"/>
        </w:rPr>
        <w:t xml:space="preserve">/s/ Stephen Feider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Stephen Feider</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(Principal Financial and Accounting Officer)</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9" w:name="bbnx-ex32_1.htm"/>
      <w:bookmarkStart w:id="30" w:name="ksbbnxex32_1"/>
      <w:bookmarkEnd w:id="29"/>
      <w:bookmarkEnd w:id="30"/>
      <w:r>
        <w:rPr>
          <w:rFonts w:ascii="Times New Roman" w:hAnsi="Times New Roman"/>
          <w:b/>
          <w:color w:val="000000"/>
          <w:sz w:val="20"/>
        </w:rPr>
        <w:t>Exhibit 32.1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Pursuant to the requirement set forth in Rule 13a-14(b) of the Securities Exchange Act of 1934, as amended, (the “Exchange Act”) and Section 1350 of Chapter 63 of Title 18 of the United States Code (18 U.S.C. §1350), </w:t>
      </w:r>
      <w:r>
        <w:rPr>
          <w:rFonts w:ascii="Times New Roman" w:hAnsi="Times New Roman"/>
          <w:color w:val="000000"/>
          <w:sz w:val="20"/>
        </w:rPr>
        <w:t>Sean Saint, President, Chief Executive Officer and Director of Beta Bionics, Inc. (the “Company”), and Stephen Feider, Chief Financial Officer of the Company, each hereby certifies that, to the best of his knowledge: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2026, to which this Certification is attached as Exhibit 32.1 (the “Periodic Report”), fully complies with the requirements of Section 13(a) or Section 15(d) of the Exchange Act;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Dated: July 29, 2026</w:t>
      </w:r>
    </w:p>
    <w:p>
      <w:pPr>
        <w:pStyle w:val="TextBody"/>
        <w:bidi w:val="0"/>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July 29, 2026.</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 xml:space="preserve">/s/ Sean Saint /s/ Stephen Feider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Sean Saint Stephen Feider</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President, Chief Executive Officer and Chief Financial Officer</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Director (Principal Financial and Accounting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(Principal Executive Officer) Officer)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74632/000119312525018471/d933339dex31.htm" TargetMode="External"/><Relationship Id="rId4" Type="http://schemas.openxmlformats.org/officeDocument/2006/relationships/hyperlink" Target="https://www.sec.gov/Archives/edgar/data/1674632/000119312525002177/d880651dex34.htm" TargetMode="External"/><Relationship Id="rId5" Type="http://schemas.openxmlformats.org/officeDocument/2006/relationships/hyperlink" Target="https://www.sec.gov/Archives/edgar/data/1674632/000119312525009915/d880651dex41.htm" TargetMode="External"/><Relationship Id="rId6" Type="http://schemas.openxmlformats.org/officeDocument/2006/relationships/hyperlink" Target="https://www.sec.gov/Archives/edgar/data/1674632/000119312525002177/d880651dex42.htm" TargetMode="External"/><Relationship Id="rId7" Type="http://schemas.openxmlformats.org/officeDocument/2006/relationships/hyperlink" Target="https://www.sec.gov/Archives/edgar/data/1674632/000119312525002177/d880651dex42.htm" TargetMode="External"/><Relationship Id="rId8" Type="http://schemas.openxmlformats.org/officeDocument/2006/relationships/image" Target="media/image2.gif"/><Relationship Id="rId9" Type="http://schemas.openxmlformats.org/officeDocument/2006/relationships/image" Target="media/image3.gif"/><Relationship Id="rId10" Type="http://schemas.openxmlformats.org/officeDocument/2006/relationships/image" Target="media/image4.gif"/><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gif"/><Relationship Id="rId17" Type="http://schemas.openxmlformats.org/officeDocument/2006/relationships/image" Target="media/image1.jpeg"/><Relationship Id="rId18" Type="http://schemas.openxmlformats.org/officeDocument/2006/relationships/image" Target="media/image8.jpeg"/><Relationship Id="rId19" Type="http://schemas.openxmlformats.org/officeDocument/2006/relationships/image" Target="media/image11.jpeg"/><Relationship Id="rId20" Type="http://schemas.openxmlformats.org/officeDocument/2006/relationships/image" Target="media/image12.jpeg"/><Relationship Id="rId21" Type="http://schemas.openxmlformats.org/officeDocument/2006/relationships/image" Target="media/image13.gif"/><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31461</Words>
  <Characters>172468</Characters>
  <CharactersWithSpaces>205662</CharactersWithSpaces>
  <Paragraphs>8498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