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Times New Roman" w:hAnsi="Times New Roman"/>
          <w:b/>
          <w:sz w:val="20"/>
        </w:rPr>
      </w:pPr>
      <w:bookmarkStart w:id="0" w:name="d108271d424b5.htm"/>
      <w:bookmarkStart w:id="1" w:name="ksd108271d424b5"/>
      <w:bookmarkEnd w:id="0"/>
      <w:bookmarkEnd w:id="1"/>
      <w:r>
        <w:rPr>
          <w:rFonts w:ascii="Times New Roman" w:hAnsi="Times New Roman"/>
          <w:b/>
          <w:sz w:val="20"/>
        </w:rPr>
        <w:t>Filed Pursuant to Rule 424(b)(5)</w:t>
        <w:br/>
        <w:t xml:space="preserve">Registration No. 333-293702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120" w:after="0"/>
        <w:jc w:val="left"/>
        <w:rPr>
          <w:rFonts w:ascii="Times New Roman" w:hAnsi="Times New Roman"/>
          <w:b/>
          <w:sz w:val="20"/>
        </w:rPr>
      </w:pPr>
      <w:r>
        <w:rPr>
          <w:rFonts w:ascii="Times New Roman" w:hAnsi="Times New Roman"/>
          <w:b/>
          <w:sz w:val="20"/>
        </w:rPr>
        <w:t xml:space="preserve">(To prospectus dated February 24, 2026) </w:t>
      </w:r>
    </w:p>
    <w:p>
      <w:pPr>
        <w:pStyle w:val="TextBody"/>
        <w:bidi w:val="0"/>
        <w:spacing w:before="0" w:after="0"/>
        <w:jc w:val="left"/>
        <w:rPr/>
      </w:pPr>
      <w:r>
        <w:rPr/>
        <w:t> </w:t>
      </w:r>
    </w:p>
    <w:p>
      <w:pPr>
        <w:pStyle w:val="TextBody"/>
        <w:bidi w:val="0"/>
        <w:spacing w:before="0" w:after="0"/>
        <w:jc w:val="left"/>
        <w:rPr/>
      </w:pPr>
      <w:r>
        <w:rPr/>
        <w:drawing>
          <wp:inline distT="0" distB="0" distL="0" distR="0">
            <wp:extent cx="162877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342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8"/>
        </w:rPr>
      </w:pPr>
      <w:r>
        <w:rPr>
          <w:rFonts w:ascii="Times New Roman" w:hAnsi="Times New Roman"/>
          <w:b/>
          <w:sz w:val="28"/>
        </w:rPr>
        <w:t xml:space="preserve">7,652,175 Shares of common stock </w:t>
      </w:r>
    </w:p>
    <w:p>
      <w:pPr>
        <w:pStyle w:val="TextBody"/>
        <w:bidi w:val="0"/>
        <w:spacing w:before="240" w:after="0"/>
        <w:jc w:val="left"/>
        <w:rPr>
          <w:rFonts w:ascii="Times New Roman" w:hAnsi="Times New Roman"/>
          <w:b/>
          <w:sz w:val="28"/>
        </w:rPr>
      </w:pPr>
      <w:r>
        <w:rPr>
          <w:rFonts w:ascii="Times New Roman" w:hAnsi="Times New Roman"/>
          <w:b/>
          <w:sz w:val="28"/>
        </w:rPr>
        <w:t xml:space="preserve">Pre-funded warrants to purchase 1,043,484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7,652,175 shares of our common stock, $0.0001 par value per share, and in lieu of common stock to certain investors that so choose, pre-funded warrants to purchase up to 1,043,484 shares of our common stock. The purchase price of each pre-funded warrant equals that price per share at which shares of our common stock are being sold in this offering, minus $0.0001, and the exercise price of each pre-funded warrant equals $0.0001 per share. We are also offering the shares of our common stock that are issuable from time to time upon exercise of the pre-funded warrants. We refer herein to shares of our common stock and the pre-funded warrants as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There is no established public trading market for the pre-funded warrants, and we do not expect a market to develop. We do not intend to apply for listing of the pre-funded warrants on The Nasdaq Global Market or any other securities exchange or nationally recognized trading system. Without an active trading market, the liquidity of the pre-funded warrants will be limited.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“BBNX.” On September 15, 2026, the last reported sale price of our common stock was $19.23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24"/>
        <w:gridCol w:w="275"/>
        <w:gridCol w:w="146"/>
        <w:gridCol w:w="751"/>
        <w:gridCol w:w="60"/>
        <w:gridCol w:w="275"/>
        <w:gridCol w:w="165"/>
        <w:gridCol w:w="1214"/>
        <w:gridCol w:w="60"/>
        <w:gridCol w:w="275"/>
        <w:gridCol w:w="146"/>
        <w:gridCol w:w="1699"/>
        <w:gridCol w:w="65"/>
      </w:tblGrid>
      <w:tr>
        <w:trPr/>
        <w:tc>
          <w:tcPr>
            <w:tcW w:w="2624"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24"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8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Pre-Funded</w:t>
              <w:br/>
              <w:t>Warrant</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6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17.25</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17.2499</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699" w:type="dxa"/>
            <w:tcBorders/>
            <w:shd w:fill="CCEEFF" w:val="clear"/>
            <w:vAlign w:val="bottom"/>
          </w:tcPr>
          <w:p>
            <w:pPr>
              <w:pStyle w:val="TableContents"/>
              <w:bidi w:val="0"/>
              <w:spacing w:before="0" w:after="283"/>
              <w:jc w:val="right"/>
              <w:rPr/>
            </w:pPr>
            <w:r>
              <w:rPr/>
              <w:t>150,000,013.41</w:t>
            </w:r>
          </w:p>
        </w:tc>
        <w:tc>
          <w:tcPr>
            <w:tcW w:w="65" w:type="dxa"/>
            <w:tcBorders/>
            <w:shd w:fill="CCEEFF" w:val="clear"/>
            <w:vAlign w:val="bottom"/>
          </w:tcPr>
          <w:p>
            <w:pPr>
              <w:pStyle w:val="TableContents"/>
              <w:bidi w:val="0"/>
              <w:spacing w:before="0" w:after="283"/>
              <w:jc w:val="left"/>
              <w:rPr/>
            </w:pPr>
            <w:r>
              <w:rPr/>
              <w:t> </w:t>
            </w:r>
          </w:p>
        </w:tc>
      </w:tr>
      <w:tr>
        <w:trPr/>
        <w:tc>
          <w:tcPr>
            <w:tcW w:w="2624"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2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1.035</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1.035</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699" w:type="dxa"/>
            <w:tcBorders/>
            <w:vAlign w:val="bottom"/>
          </w:tcPr>
          <w:p>
            <w:pPr>
              <w:pStyle w:val="TableContents"/>
              <w:bidi w:val="0"/>
              <w:spacing w:before="0" w:after="283"/>
              <w:jc w:val="right"/>
              <w:rPr/>
            </w:pPr>
            <w:r>
              <w:rPr/>
              <w:t>9,000,007.07</w:t>
            </w:r>
          </w:p>
        </w:tc>
        <w:tc>
          <w:tcPr>
            <w:tcW w:w="65" w:type="dxa"/>
            <w:tcBorders/>
            <w:vAlign w:val="bottom"/>
          </w:tcPr>
          <w:p>
            <w:pPr>
              <w:pStyle w:val="TableContents"/>
              <w:bidi w:val="0"/>
              <w:spacing w:before="0" w:after="283"/>
              <w:jc w:val="left"/>
              <w:rPr/>
            </w:pPr>
            <w:r>
              <w:rPr/>
              <w:t> </w:t>
            </w:r>
          </w:p>
        </w:tc>
      </w:tr>
      <w:tr>
        <w:trPr/>
        <w:tc>
          <w:tcPr>
            <w:tcW w:w="26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Beta Bionics, Inc.</w:t>
            </w:r>
          </w:p>
        </w:tc>
        <w:tc>
          <w:tcPr>
            <w:tcW w:w="2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16.215</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16.21490</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699" w:type="dxa"/>
            <w:tcBorders/>
            <w:shd w:fill="CCEEFF" w:val="clear"/>
            <w:vAlign w:val="bottom"/>
          </w:tcPr>
          <w:p>
            <w:pPr>
              <w:pStyle w:val="TableContents"/>
              <w:bidi w:val="0"/>
              <w:spacing w:before="0" w:after="283"/>
              <w:jc w:val="right"/>
              <w:rPr/>
            </w:pPr>
            <w:r>
              <w:rPr/>
              <w:t>141,000,006.34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 entitled “Underwriting” for additional information regarding compensation payable to the underwriters.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granted the underwriters a 30-day option to purchase up to an additional 1,304,348 shares of our common stock at the price to the public less underwriting discounts and commissions. </w:t>
      </w:r>
    </w:p>
    <w:p>
      <w:pPr>
        <w:pStyle w:val="TextBody"/>
        <w:bidi w:val="0"/>
        <w:spacing w:before="240" w:after="0"/>
        <w:jc w:val="left"/>
        <w:rPr/>
      </w:pPr>
      <w:r>
        <w:rPr>
          <w:rFonts w:ascii="Times New Roman" w:hAnsi="Times New Roman"/>
          <w:b/>
          <w:sz w:val="24"/>
        </w:rPr>
        <w:t>Investing in our securities involves a high degree of risk. See “</w:t>
      </w:r>
      <w:hyperlink w:anchor="supp108271_3">
        <w:r>
          <w:rPr>
            <w:rStyle w:val="InternetLink"/>
            <w:rFonts w:ascii="Times New Roman" w:hAnsi="Times New Roman"/>
            <w:b/>
            <w:sz w:val="24"/>
          </w:rPr>
          <w:t>Risk factors</w:t>
        </w:r>
      </w:hyperlink>
      <w:r>
        <w:rPr>
          <w:rFonts w:ascii="Times New Roman" w:hAnsi="Times New Roman"/>
          <w:b/>
          <w:sz w:val="24"/>
        </w:rPr>
        <w:t xml:space="preserve">” beginning on page S-7 of this prospectus supplement and in the documents incorporated by reference into this prospectus supplement and the accompanying prospectus before investing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expect to deliver the shares of our common stock and pre-funded warrants to purchasers on or about September 17,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101"/>
        <w:gridCol w:w="1940"/>
        <w:gridCol w:w="102"/>
        <w:gridCol w:w="3470"/>
        <w:gridCol w:w="101"/>
        <w:gridCol w:w="2450"/>
      </w:tblGrid>
      <w:tr>
        <w:trPr/>
        <w:tc>
          <w:tcPr>
            <w:tcW w:w="204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b/>
              </w:rPr>
            </w:pPr>
            <w:r>
              <w:rPr>
                <w:b/>
              </w:rPr>
              <w:t>J.P. Morgan</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b/>
              </w:rPr>
            </w:pPr>
            <w:r>
              <w:rPr>
                <w:b/>
              </w:rPr>
              <w:t>Piper Sandler</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 </w:t>
            </w:r>
            <w:r>
              <w:rPr>
                <w:b/>
              </w:rPr>
              <w:t>Wells Fargo Securities</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b/>
              </w:rPr>
            </w:pPr>
            <w:r>
              <w:rPr>
                <w:b/>
              </w:rPr>
              <w:t>Leerink Partners</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September 15,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32"/>
        <w:gridCol w:w="167"/>
        <w:gridCol w:w="60"/>
        <w:gridCol w:w="484"/>
        <w:gridCol w:w="62"/>
      </w:tblGrid>
      <w:tr>
        <w:trPr/>
        <w:tc>
          <w:tcPr>
            <w:tcW w:w="943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3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32" w:type="dxa"/>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tcBorders/>
            <w:vAlign w:val="bottom"/>
          </w:tcPr>
          <w:p>
            <w:pPr>
              <w:pStyle w:val="TableContents"/>
              <w:bidi w:val="0"/>
              <w:spacing w:before="0" w:after="0"/>
              <w:jc w:val="left"/>
              <w:rPr/>
            </w:pPr>
            <w:hyperlink w:anchor="supp108271_1">
              <w:r>
                <w:rPr>
                  <w:rStyle w:val="InternetLink"/>
                  <w:rFonts w:ascii="Times New Roman" w:hAnsi="Times New Roman"/>
                  <w:sz w:val="20"/>
                </w:rPr>
                <w:t>About this prospectus supplement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center"/>
              <w:rPr/>
            </w:pPr>
            <w:r>
              <w:rPr/>
              <w:t>S-ii</w:t>
            </w:r>
          </w:p>
        </w:tc>
        <w:tc>
          <w:tcPr>
            <w:tcW w:w="62" w:type="dxa"/>
            <w:tcBorders/>
            <w:vAlign w:val="bottom"/>
          </w:tcPr>
          <w:p>
            <w:pPr>
              <w:pStyle w:val="TableContents"/>
              <w:bidi w:val="0"/>
              <w:spacing w:before="0" w:after="283"/>
              <w:jc w:val="left"/>
              <w:rPr/>
            </w:pPr>
            <w:r>
              <w:rPr/>
              <w:t> </w:t>
            </w:r>
          </w:p>
        </w:tc>
      </w:tr>
      <w:tr>
        <w:trPr>
          <w:trHeight w:val="120" w:hRule="atLeast"/>
        </w:trPr>
        <w:tc>
          <w:tcPr>
            <w:tcW w:w="9432" w:type="dxa"/>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tcBorders/>
            <w:vAlign w:val="bottom"/>
          </w:tcPr>
          <w:p>
            <w:pPr>
              <w:pStyle w:val="TableContents"/>
              <w:bidi w:val="0"/>
              <w:spacing w:before="0" w:after="0"/>
              <w:jc w:val="left"/>
              <w:rPr/>
            </w:pPr>
            <w:hyperlink w:anchor="supp108271_2">
              <w:r>
                <w:rPr>
                  <w:rStyle w:val="InternetLink"/>
                  <w:rFonts w:ascii="Times New Roman" w:hAnsi="Times New Roman"/>
                  <w:sz w:val="20"/>
                </w:rPr>
                <w:t>Prospectus supplement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center"/>
              <w:rPr/>
            </w:pPr>
            <w:r>
              <w:rPr/>
              <w:t>S-1</w:t>
            </w:r>
          </w:p>
        </w:tc>
        <w:tc>
          <w:tcPr>
            <w:tcW w:w="62" w:type="dxa"/>
            <w:tcBorders/>
            <w:vAlign w:val="bottom"/>
          </w:tcPr>
          <w:p>
            <w:pPr>
              <w:pStyle w:val="TableContents"/>
              <w:bidi w:val="0"/>
              <w:spacing w:before="0" w:after="283"/>
              <w:jc w:val="left"/>
              <w:rPr/>
            </w:pPr>
            <w:r>
              <w:rPr/>
              <w:t> </w:t>
            </w:r>
          </w:p>
        </w:tc>
      </w:tr>
      <w:tr>
        <w:trPr>
          <w:trHeight w:val="120" w:hRule="atLeast"/>
        </w:trPr>
        <w:tc>
          <w:tcPr>
            <w:tcW w:w="9432" w:type="dxa"/>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tcBorders/>
            <w:vAlign w:val="bottom"/>
          </w:tcPr>
          <w:p>
            <w:pPr>
              <w:pStyle w:val="TableContents"/>
              <w:bidi w:val="0"/>
              <w:spacing w:before="0" w:after="0"/>
              <w:jc w:val="left"/>
              <w:rPr/>
            </w:pPr>
            <w:hyperlink w:anchor="supp108271_3">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center"/>
              <w:rPr/>
            </w:pPr>
            <w:r>
              <w:rPr/>
              <w:t>S-7</w:t>
            </w:r>
          </w:p>
        </w:tc>
        <w:tc>
          <w:tcPr>
            <w:tcW w:w="62" w:type="dxa"/>
            <w:tcBorders/>
            <w:vAlign w:val="bottom"/>
          </w:tcPr>
          <w:p>
            <w:pPr>
              <w:pStyle w:val="TableContents"/>
              <w:bidi w:val="0"/>
              <w:spacing w:before="0" w:after="283"/>
              <w:jc w:val="left"/>
              <w:rPr/>
            </w:pPr>
            <w:r>
              <w:rPr/>
              <w:t> </w:t>
            </w:r>
          </w:p>
        </w:tc>
      </w:tr>
      <w:tr>
        <w:trPr>
          <w:trHeight w:val="120" w:hRule="atLeast"/>
        </w:trPr>
        <w:tc>
          <w:tcPr>
            <w:tcW w:w="9432" w:type="dxa"/>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tcBorders/>
            <w:vAlign w:val="bottom"/>
          </w:tcPr>
          <w:p>
            <w:pPr>
              <w:pStyle w:val="TableContents"/>
              <w:bidi w:val="0"/>
              <w:spacing w:before="0" w:after="0"/>
              <w:jc w:val="left"/>
              <w:rPr/>
            </w:pPr>
            <w:hyperlink w:anchor="supp108271_4">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center"/>
              <w:rPr/>
            </w:pPr>
            <w:r>
              <w:rPr/>
              <w:t>S-11</w:t>
            </w:r>
          </w:p>
        </w:tc>
        <w:tc>
          <w:tcPr>
            <w:tcW w:w="62" w:type="dxa"/>
            <w:tcBorders/>
            <w:vAlign w:val="bottom"/>
          </w:tcPr>
          <w:p>
            <w:pPr>
              <w:pStyle w:val="TableContents"/>
              <w:bidi w:val="0"/>
              <w:spacing w:before="0" w:after="283"/>
              <w:jc w:val="left"/>
              <w:rPr/>
            </w:pPr>
            <w:r>
              <w:rPr/>
              <w:t> </w:t>
            </w:r>
          </w:p>
        </w:tc>
      </w:tr>
      <w:tr>
        <w:trPr>
          <w:trHeight w:val="120" w:hRule="atLeast"/>
        </w:trPr>
        <w:tc>
          <w:tcPr>
            <w:tcW w:w="9432" w:type="dxa"/>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tcBorders/>
            <w:vAlign w:val="bottom"/>
          </w:tcPr>
          <w:p>
            <w:pPr>
              <w:pStyle w:val="TableContents"/>
              <w:bidi w:val="0"/>
              <w:spacing w:before="0" w:after="0"/>
              <w:jc w:val="left"/>
              <w:rPr/>
            </w:pPr>
            <w:hyperlink w:anchor="supp108271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center"/>
              <w:rPr/>
            </w:pPr>
            <w:r>
              <w:rPr/>
              <w:t>S-13</w:t>
            </w:r>
          </w:p>
        </w:tc>
        <w:tc>
          <w:tcPr>
            <w:tcW w:w="62" w:type="dxa"/>
            <w:tcBorders/>
            <w:vAlign w:val="bottom"/>
          </w:tcPr>
          <w:p>
            <w:pPr>
              <w:pStyle w:val="TableContents"/>
              <w:bidi w:val="0"/>
              <w:spacing w:before="0" w:after="283"/>
              <w:jc w:val="left"/>
              <w:rPr/>
            </w:pPr>
            <w:r>
              <w:rPr/>
              <w:t> </w:t>
            </w:r>
          </w:p>
        </w:tc>
      </w:tr>
      <w:tr>
        <w:trPr>
          <w:trHeight w:val="120" w:hRule="atLeast"/>
        </w:trPr>
        <w:tc>
          <w:tcPr>
            <w:tcW w:w="9432" w:type="dxa"/>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tcBorders/>
            <w:vAlign w:val="bottom"/>
          </w:tcPr>
          <w:p>
            <w:pPr>
              <w:pStyle w:val="TableContents"/>
              <w:bidi w:val="0"/>
              <w:spacing w:before="0" w:after="0"/>
              <w:jc w:val="left"/>
              <w:rPr/>
            </w:pPr>
            <w:hyperlink w:anchor="supp108271_6">
              <w:r>
                <w:rPr>
                  <w:rStyle w:val="InternetLink"/>
                  <w:rFonts w:ascii="Times New Roman" w:hAnsi="Times New Roman"/>
                  <w:sz w:val="20"/>
                </w:rPr>
                <w:t>Dilution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center"/>
              <w:rPr/>
            </w:pPr>
            <w:r>
              <w:rPr/>
              <w:t>S-14</w:t>
            </w:r>
          </w:p>
        </w:tc>
        <w:tc>
          <w:tcPr>
            <w:tcW w:w="62" w:type="dxa"/>
            <w:tcBorders/>
            <w:vAlign w:val="bottom"/>
          </w:tcPr>
          <w:p>
            <w:pPr>
              <w:pStyle w:val="TableContents"/>
              <w:bidi w:val="0"/>
              <w:spacing w:before="0" w:after="283"/>
              <w:jc w:val="left"/>
              <w:rPr/>
            </w:pPr>
            <w:r>
              <w:rPr/>
              <w:t> </w:t>
            </w:r>
          </w:p>
        </w:tc>
      </w:tr>
      <w:tr>
        <w:trPr>
          <w:trHeight w:val="120" w:hRule="atLeast"/>
        </w:trPr>
        <w:tc>
          <w:tcPr>
            <w:tcW w:w="9432" w:type="dxa"/>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tcBorders/>
          </w:tcPr>
          <w:p>
            <w:pPr>
              <w:pStyle w:val="TableContents"/>
              <w:bidi w:val="0"/>
              <w:spacing w:before="0" w:after="0"/>
              <w:jc w:val="left"/>
              <w:rPr/>
            </w:pPr>
            <w:hyperlink w:anchor="supp108271_6a">
              <w:r>
                <w:rPr>
                  <w:rStyle w:val="InternetLink"/>
                  <w:rFonts w:ascii="Times New Roman" w:hAnsi="Times New Roman"/>
                  <w:sz w:val="20"/>
                </w:rPr>
                <w:t>Description of securities we are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rHeight w:val="120" w:hRule="atLeast"/>
        </w:trPr>
        <w:tc>
          <w:tcPr>
            <w:tcW w:w="9432" w:type="dxa"/>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tcBorders/>
            <w:vAlign w:val="bottom"/>
          </w:tcPr>
          <w:p>
            <w:pPr>
              <w:pStyle w:val="TableContents"/>
              <w:bidi w:val="0"/>
              <w:spacing w:before="0" w:after="0"/>
              <w:jc w:val="left"/>
              <w:rPr/>
            </w:pPr>
            <w:hyperlink w:anchor="supp108271_7">
              <w:r>
                <w:rPr>
                  <w:rStyle w:val="InternetLink"/>
                  <w:rFonts w:ascii="Times New Roman" w:hAnsi="Times New Roman"/>
                  <w:sz w:val="20"/>
                </w:rPr>
                <w:t>Material U.S. federal income tax consequences of our common stock and pre-funded warrants for non-U.S.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center"/>
              <w:rPr/>
            </w:pPr>
            <w:r>
              <w:rPr/>
              <w:t>S-17</w:t>
            </w:r>
          </w:p>
        </w:tc>
        <w:tc>
          <w:tcPr>
            <w:tcW w:w="62" w:type="dxa"/>
            <w:tcBorders/>
            <w:vAlign w:val="bottom"/>
          </w:tcPr>
          <w:p>
            <w:pPr>
              <w:pStyle w:val="TableContents"/>
              <w:bidi w:val="0"/>
              <w:spacing w:before="0" w:after="283"/>
              <w:jc w:val="left"/>
              <w:rPr/>
            </w:pPr>
            <w:r>
              <w:rPr/>
              <w:t> </w:t>
            </w:r>
          </w:p>
        </w:tc>
      </w:tr>
      <w:tr>
        <w:trPr>
          <w:trHeight w:val="120" w:hRule="atLeast"/>
        </w:trPr>
        <w:tc>
          <w:tcPr>
            <w:tcW w:w="9432" w:type="dxa"/>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tcBorders/>
            <w:vAlign w:val="bottom"/>
          </w:tcPr>
          <w:p>
            <w:pPr>
              <w:pStyle w:val="TableContents"/>
              <w:bidi w:val="0"/>
              <w:spacing w:before="0" w:after="0"/>
              <w:jc w:val="left"/>
              <w:rPr/>
            </w:pPr>
            <w:hyperlink w:anchor="supp108271_8">
              <w:r>
                <w:rPr>
                  <w:rStyle w:val="InternetLink"/>
                  <w:rFonts w:ascii="Times New Roman" w:hAnsi="Times New Roman"/>
                  <w:sz w:val="20"/>
                </w:rPr>
                <w:t>Underwriting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center"/>
              <w:rPr/>
            </w:pPr>
            <w:r>
              <w:rPr/>
              <w:t>S-20</w:t>
            </w:r>
          </w:p>
        </w:tc>
        <w:tc>
          <w:tcPr>
            <w:tcW w:w="62" w:type="dxa"/>
            <w:tcBorders/>
            <w:vAlign w:val="bottom"/>
          </w:tcPr>
          <w:p>
            <w:pPr>
              <w:pStyle w:val="TableContents"/>
              <w:bidi w:val="0"/>
              <w:spacing w:before="0" w:after="283"/>
              <w:jc w:val="left"/>
              <w:rPr/>
            </w:pPr>
            <w:r>
              <w:rPr/>
              <w:t> </w:t>
            </w:r>
          </w:p>
        </w:tc>
      </w:tr>
      <w:tr>
        <w:trPr>
          <w:trHeight w:val="120" w:hRule="atLeast"/>
        </w:trPr>
        <w:tc>
          <w:tcPr>
            <w:tcW w:w="9432" w:type="dxa"/>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tcBorders/>
            <w:vAlign w:val="bottom"/>
          </w:tcPr>
          <w:p>
            <w:pPr>
              <w:pStyle w:val="TableContents"/>
              <w:bidi w:val="0"/>
              <w:spacing w:before="0" w:after="0"/>
              <w:jc w:val="left"/>
              <w:rPr/>
            </w:pPr>
            <w:hyperlink w:anchor="supp108271_9">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center"/>
              <w:rPr/>
            </w:pPr>
            <w:r>
              <w:rPr/>
              <w:t>S-29</w:t>
            </w:r>
          </w:p>
        </w:tc>
        <w:tc>
          <w:tcPr>
            <w:tcW w:w="62" w:type="dxa"/>
            <w:tcBorders/>
            <w:vAlign w:val="bottom"/>
          </w:tcPr>
          <w:p>
            <w:pPr>
              <w:pStyle w:val="TableContents"/>
              <w:bidi w:val="0"/>
              <w:spacing w:before="0" w:after="283"/>
              <w:jc w:val="left"/>
              <w:rPr/>
            </w:pPr>
            <w:r>
              <w:rPr/>
              <w:t> </w:t>
            </w:r>
          </w:p>
        </w:tc>
      </w:tr>
      <w:tr>
        <w:trPr>
          <w:trHeight w:val="120" w:hRule="atLeast"/>
        </w:trPr>
        <w:tc>
          <w:tcPr>
            <w:tcW w:w="9432" w:type="dxa"/>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tcBorders/>
            <w:vAlign w:val="bottom"/>
          </w:tcPr>
          <w:p>
            <w:pPr>
              <w:pStyle w:val="TableContents"/>
              <w:bidi w:val="0"/>
              <w:spacing w:before="0" w:after="0"/>
              <w:jc w:val="left"/>
              <w:rPr/>
            </w:pPr>
            <w:hyperlink w:anchor="supp108271_10">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center"/>
              <w:rPr/>
            </w:pPr>
            <w:r>
              <w:rPr/>
              <w:t>S-29</w:t>
            </w:r>
          </w:p>
        </w:tc>
        <w:tc>
          <w:tcPr>
            <w:tcW w:w="62" w:type="dxa"/>
            <w:tcBorders/>
            <w:vAlign w:val="bottom"/>
          </w:tcPr>
          <w:p>
            <w:pPr>
              <w:pStyle w:val="TableContents"/>
              <w:bidi w:val="0"/>
              <w:spacing w:before="0" w:after="283"/>
              <w:jc w:val="left"/>
              <w:rPr/>
            </w:pPr>
            <w:r>
              <w:rPr/>
              <w:t> </w:t>
            </w:r>
          </w:p>
        </w:tc>
      </w:tr>
      <w:tr>
        <w:trPr>
          <w:trHeight w:val="120" w:hRule="atLeast"/>
        </w:trPr>
        <w:tc>
          <w:tcPr>
            <w:tcW w:w="9432" w:type="dxa"/>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tcBorders/>
            <w:vAlign w:val="bottom"/>
          </w:tcPr>
          <w:p>
            <w:pPr>
              <w:pStyle w:val="TableContents"/>
              <w:bidi w:val="0"/>
              <w:spacing w:before="0" w:after="0"/>
              <w:jc w:val="left"/>
              <w:rPr/>
            </w:pPr>
            <w:hyperlink w:anchor="supp108271_11">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center"/>
              <w:rPr/>
            </w:pPr>
            <w:r>
              <w:rPr/>
              <w:t>S-29</w:t>
            </w:r>
          </w:p>
        </w:tc>
        <w:tc>
          <w:tcPr>
            <w:tcW w:w="62" w:type="dxa"/>
            <w:tcBorders/>
            <w:vAlign w:val="bottom"/>
          </w:tcPr>
          <w:p>
            <w:pPr>
              <w:pStyle w:val="TableContents"/>
              <w:bidi w:val="0"/>
              <w:spacing w:before="0" w:after="283"/>
              <w:jc w:val="left"/>
              <w:rPr/>
            </w:pPr>
            <w:r>
              <w:rPr/>
              <w:t> </w:t>
            </w:r>
          </w:p>
        </w:tc>
      </w:tr>
      <w:tr>
        <w:trPr>
          <w:trHeight w:val="120" w:hRule="atLeast"/>
        </w:trPr>
        <w:tc>
          <w:tcPr>
            <w:tcW w:w="9432" w:type="dxa"/>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tcBorders/>
            <w:vAlign w:val="bottom"/>
          </w:tcPr>
          <w:p>
            <w:pPr>
              <w:pStyle w:val="TableContents"/>
              <w:bidi w:val="0"/>
              <w:spacing w:before="0" w:after="0"/>
              <w:jc w:val="left"/>
              <w:rPr/>
            </w:pPr>
            <w:hyperlink w:anchor="supp108271_12">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center"/>
              <w:rPr/>
            </w:pPr>
            <w:r>
              <w:rPr/>
              <w:t>S-29</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0827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2">
              <w:r>
                <w:rPr>
                  <w:rStyle w:val="InternetLink"/>
                  <w:rFonts w:ascii="Times New Roman" w:hAnsi="Times New Roman"/>
                  <w:sz w:val="20"/>
                </w:rPr>
                <w:t>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3">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4">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6">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7">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8">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9">
              <w:r>
                <w:rPr>
                  <w:rStyle w:val="InternetLink"/>
                  <w:rFonts w:ascii="Times New Roman" w:hAnsi="Times New Roman"/>
                  <w:sz w:val="20"/>
                </w:rPr>
                <w:t>LEGAL OWNERSHIP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1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14">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and the underwriters have not, authorized anyone to provide you with information different than that which is contained in or incorporated by reference in this prospectus supplement, the accompanying prospectus or in any free writing prospectus that we have authorized for use in connection with this offering. We and the underwriters are not making an offer to sell these securities in any jurisdiction where the offer or sale is not permitted. You should assume that the information appearing in this prospectus supplement, the accompanying prospectus, the documents incorporated by reference in this prospectus supplement and the accompanying prospectus,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free writing prospectus that we have authorized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“Incorporation of certain information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3" w:name="supp108271_1"/>
      <w:bookmarkEnd w:id="3"/>
      <w:r>
        <w:rPr>
          <w:rFonts w:ascii="Times New Roman" w:hAnsi="Times New Roman"/>
          <w:b/>
          <w:sz w:val="20"/>
        </w:rPr>
        <w:t xml:space="preserve">About this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of common stock and pre-funded warrants and also adds to and updates information contained in the accompanying prospectus and the documents incorporated by reference into this prospectus supplement and the accompanying prospectus. The second part, the accompanying prospectus dated February 24, 2026,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You should assume that the information contained in this prospectus supplement is accurate as of the date on the front cover of this prospectus supplement only and that any information we have incorporated by reference or included in the accompanying prospectus is accurate only as of the date given in the document incorporated by reference or as of the date of the prospectus, as applicable, regardless of the time of delivery of this prospectus supplement or the accompanying prospectus or any sale of our common stock or pre-funded warrants.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indicates otherwise, as used in this prospectus supplement, the terms “Beta Bionics,” “the Company,” “we,” “us” and “our” refer to Beta Bionics, Inc.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herein and therein by reference may include trademarks, service marks and trade names owned by us or other companies. All trademarks, service marks and trade names included or incorporated by reference into this prospectus supplement or the accompanying prospectus are the property of their respective owners.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bookmarkStart w:id="4" w:name="supp108271_2"/>
      <w:bookmarkEnd w:id="4"/>
      <w:r>
        <w:rPr>
          <w:rFonts w:ascii="Times New Roman" w:hAnsi="Times New Roman"/>
          <w:b/>
          <w:sz w:val="20"/>
          <w:bdr w:val="single" w:sz="8" w:space="1" w:color="000000"/>
        </w:rPr>
        <w:t xml:space="preserve">Prospectus supplement summary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or incorporated by reference in this prospectus supplement and the accompanying prospectus. This summary does not contain all the information you should consider before investing in our securities. You should read and consider carefully the more detailed information in this prospectus supplement and the accompanying prospectus, including the factors described under the heading “Risk factors” in this prospectus supplement, and under similar headings in other documents that are incorporated by reference in this prospectus supplement and the accompanying prospectus, and the financial and other information incorporated by reference in this prospectus supplement and the accompanying prospectus, as well as the information included in any free writing prospectus that we have authorized for use in connection with this offering,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commercial-stage medical device company engaged in the design, development, and commercialization of innovative solutions to improve the health and quality of life of insulin-requiring people with diabetes by utilizing advanced adaptive closed-loop algorithms to simplify and improve the treatment of their disease. Our product, the iLet Bionic Pancreas (iLet), was cleared by the U.S. Food and Drug Administration (FDA) for the treatment of Type 1 diabetes in adults and children six years and older and commercially launched in May 2023 in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mission is to simplify and alleviate the burden of managing diabetes with life-changing solutions. Our vision is to make diabetes easier, for everyone, every day. Our goal is to establish the iLet as the standard of care for insulin delivery.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Mint approval and commercial launch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14, 2026, we announced FDA clearance of Mint, our patch pump featuring a transformative reusable and disposable architecture that does not require recharging, integrates with industry-leading continuous glucose monitors (CGM) and enables smartphone control for iOS and Android users.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expect to initiate the full commercial launch of Mint in the United States in the first quarter of 2027, and anticipate manufacturing capacity to produce at least 1.5 million total disposable units in the full year 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Mint is expected to launch exclusively through the pharmacy channel, with approximately 40% of insured U.S. lives expected to be able to purchase it using their pharmacy benefit. We anticipate coverage for Mint to increase to at least 50% of insured U.S. lives within the first year of full commercialization as we leverage our market access footprint.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Mint features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Transformative, two-piece reusable and disposable architecture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Smaller compared to the industry-leading patch pump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Seamless disposable patch change process with no phone re-pairing required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Firmware-over-the-air updates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Limits environmental waste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Three days of wear time, with an additional 12-hour grace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200-unit insulin reservoir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Never requires recharging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Waterproof with an IPX8 rating for up to 5 feet deep for 60 minutes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Comprehensive software and digital integration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Compatible with industry-leading CGMs: Dexcom G7, Dexcom G7 15 Day, and Abbott’s FreeStyle Libre 3 Plus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iOS and Android smartphone controlled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3D Intelligence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on September 14, 2026, we announced our submission of a 510(k) application to the FDA for 3D Intelligence, our anticipated next-generation insulin dosing algorithm. 3D Intelligence is designed with three algorithm experiences intended to enable a more customizable treatment approach tailored to each user’s unique insulin requirements: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 the algorithm currently available with iLet, with proven real-world experience across more than 40,000 users**.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Optimized – an enhanced experience that builds on the currently available algorithm and incorporates learnings from our real-world experience with iLet.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Conservative – an alternative experience designed to provide a more measured response when correcting high glucose levels.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regulatory clearance by the FDA, the 3D Intelligence insulin-dosing algorithm is expected to power both iLet 3D and Mint 3D, our investigational next-generation automated insulin delivery (AID) platforms. Commercialization of iLet 3D in the United States is expected by the end of 2026, and commercialization of Mint 3D in the United States is expected simultaneous with the full Mint launch in the first quarter of 2027, in each case, subject to regulatory clearance by the FDA.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Minor differences in adaptation compared to previous algorithm are not anticipated to have a significant impact on outcomes.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Fully-closed loop algorithm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developing a fully-closed loop algorithm and intend to initiate a pivotal trial studying the algorithm in adults with type 1 and type 2 diabetes in the coming quarters.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iLet real-world data highlights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iLet is the first insulin delivery device cleared by the FDA to utilize adaptive closed-loop algorithms to autonomously determine every insulin dose without requiring a user to count carbohydrate intake. Based on real-world data from the first two years (5/19/2023–5/18/2025) of iLet usage (the Usage Period) among iLet users with baseline HbA1c data and who uploaded data to us (n=14,952), greater than 84% of iLet users met the American Diabetes Association (ADA) hypoglycemia goals of less than 4% time below 70mg/dL and less than 1% time below 54mg/dL. In addition, overall HbA1c of 8.9% to glucose management indicator (GMI) of 7.3%, or an average reduction of 1.5%, was observed, with a meaningful change regardless of baseline HbA1c. These real-world results are consistent with the investigator-initiated iLet Bionic Pancreas Pivotal Trial, in which an average reduction in HbA1c of 0.6%, from a baseline of 7.9% to 7.3% over 13 weeks was observed.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Improvements in baseline HbA1c have been observed just two days after initiating use of iLet, with an average baseline HbA1c of 8.9% to follow-up GMI on iLet of 7.4% observed among iLet users within the Usage Period who uploaded CGM data to us (n=30,077 sessions), 90% of whom had baseline HbA1c data available.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Similar improvements in GMI have been observed regardless of provider type with an average baseline HbA1c of 8.9% to follow-up GMI on iLet of 7.3% observed from both endocrinology (n=13,566) and primary care (n=1,036) providers of iLet for users within the Usage Period with provider type data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also observed similar improvements regardless of engagement levels with an average baseline HbA1c of 8.9% to follow-up GMI on iLet of 7.3% for low engagement users (≤ 4 average daily swipes to unlock iLet, n=302) as compared to an average baseline HbA1c of 8.0% to follow-up GMI on iLet of 7.2% for high engagement users (≥ 10 average daily swipes to unlock iLet, n=301) observed in iLet users within the Usage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When analyzing data from iLet users from the 21-day period ending May 18, 2025 with baseline HbA1c data available, we estimate that approximately 16% (n=2,416) use iLet in a fully-closed loop manner (announced &lt;1 meal per day on average during the observation period), with an average of approximately 1 meal announced every three days. During the observation period, these fully-closed loop users achieved approximately 62% time in range on average and approximately 83% meet ADA hypoglycemia goals of less than 4% time below 70mg/dL and less than 1% time below 54mg/dL. Among these users, an average baseline HbA1c of 9.4% to follow-up GMI on iLet of 7.5% was observed. In addition, among a subgroup of these users (n=530) who did not announce a single meal during the observation period, an average baseline HbA1c of 9.4% to follow-up GMI on iLet of 7.4% was observed, with approximately 86% of this subgroup meeting ADA hypoglycemia goals.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Furthermore, based on post-market data (n=2,741, ≥ 4 yrs, Patient Years ~434), 8.1 users had ≥1 severe hypoglycemia event per 100 patient years. This compares to 9.6 users for Control-IQ (n=3,061, ≥ 6 yrs, Patient Years ~3,061)1, an AID, and reported severe hypoglycemia events per 100 patient years in non-AID systems of 121 (n=3,813, ≥ 18 yrs, Patient Years ~3,813)2 and 70 (n=3,827, ≥ 15 yrs, Patient Years ~220)3.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Graham et al. (2024) Real-World Use of Control-IQ Technology Is Associated with a Lower Rate of Severe Hypoglycemia and Diabetic Ketoacidosis Than Historical Data: Results of the Control-IQ Observational (CLIO) Prospective Study. Diabetes Technol Therapy; 26: 24-32.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Kristensen et al. (2012) Insulin analogues and severe hypoglycaemia in type 1 diabetes. Diabetes Res Clin Pract; 96:17-23.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Ostenson et al. (2014) Self-reported non-severe hypoglycaemic events in Europe. Diabetic Medicine; 31:92-101.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Legal proceedings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4, 2026, a purported stockholder of our company filed a securities class action against us and certain of our executive officers in the United States District Court for the Central District of California, captioned </w:t>
      </w:r>
      <w:r>
        <w:rPr>
          <w:rFonts w:ascii="Times New Roman" w:hAnsi="Times New Roman"/>
          <w:i/>
          <w:sz w:val="20"/>
          <w:bdr w:val="single" w:sz="8" w:space="1" w:color="000000"/>
        </w:rPr>
        <w:t>Holtzman vs. Beta Bionics, Inc. et al.</w:t>
      </w:r>
      <w:r>
        <w:rPr>
          <w:rFonts w:ascii="Times New Roman" w:hAnsi="Times New Roman"/>
          <w:sz w:val="20"/>
          <w:bdr w:val="single" w:sz="8" w:space="1" w:color="000000"/>
        </w:rPr>
        <w:t xml:space="preserve">, Case No. 2:26-cv-09999. The complaint alleges that defendants violated Sections 10(b) and 20(a) of the Securities Exchange Act of 1934, and SEC Rule 10b-5 promulgated thereunder, by making material misstatements or omissions concerning the safety, efficacy, and commercial success of iLet. The complaint seeks, on behalf of the putative class, unspecified damages, pre- and post-judgment interest, attorneys’ fees, expert fees and costs, as well as class certification and such other relief as the court may deem just and proper. We intend to vigorously defend against the claims in this action. Any potential loss arising from this claim is not currently probable or estimable.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originally incorporated under the laws of the Commonwealth of Massachusetts in October 2015. In August 2024, we reincorporated under the laws of the State of Delaware. Our principal executive offices are located at 11 Hughes, Irvine, California 92618, and our telephone number is (949) 427-7785. Our website is www.betabionics.com. The information contained in, or that can be accessed through, our website is not part of, and is not incorporated by reference into, this prospectus and should not be considered part of this prospectus supplement. We have included our website in this prospectus supplement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Emerging growth company and smaller reporting company status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Jumpstart Our Business Startups (JOBS) Act. For as long as we remain an “emerging growth company”, we may take advantage of reduced reporting requirements that are otherwise applicable to public companies. These provisions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and (iii) exemptions from the requirements of holding a nonbinding advisory vote on executive compensation and any golden parachute payments not previously approved.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may use these provisions until the last day of our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no longer a “smaller reporting company” as defined by Rule 12b-2 of the Exchange Act because our annual revenue exceeded $100.0 million during the most recently completed fiscal year. However, we may continue to take advantage of certain of the scaled disclosures available to smaller reporting companies through the end of the year ended December 31, 2026 and until our Form 10-Q for the quarter ended March 31, 2027. If we are a smaller reporting company or are otherwise eligible to take advantage of the scaled disclosure available to smaller reporting companies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unaudited condensed financial statements in our Quarterly Report on Form 10-Q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958"/>
        <w:gridCol w:w="120"/>
        <w:gridCol w:w="6127"/>
      </w:tblGrid>
      <w:tr>
        <w:trPr/>
        <w:tc>
          <w:tcPr>
            <w:tcW w:w="39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27" w:type="dxa"/>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bidi w:val="0"/>
              <w:spacing w:before="0" w:after="283"/>
              <w:jc w:val="left"/>
              <w:rPr/>
            </w:pPr>
            <w:r>
              <w:rPr/>
              <w:t>Common stock offered by us</w:t>
            </w:r>
          </w:p>
        </w:tc>
        <w:tc>
          <w:tcPr>
            <w:tcW w:w="120" w:type="dxa"/>
            <w:tcBorders/>
            <w:vAlign w:val="bottom"/>
          </w:tcPr>
          <w:p>
            <w:pPr>
              <w:pStyle w:val="TableContents"/>
              <w:bidi w:val="0"/>
              <w:spacing w:before="0" w:after="283"/>
              <w:jc w:val="left"/>
              <w:rPr/>
            </w:pPr>
            <w:r>
              <w:rPr/>
              <w:t>  </w:t>
            </w:r>
          </w:p>
        </w:tc>
        <w:tc>
          <w:tcPr>
            <w:tcW w:w="6127" w:type="dxa"/>
            <w:tcBorders/>
          </w:tcPr>
          <w:p>
            <w:pPr>
              <w:pStyle w:val="TableContents"/>
              <w:bidi w:val="0"/>
              <w:spacing w:before="0" w:after="283"/>
              <w:jc w:val="left"/>
              <w:rPr/>
            </w:pPr>
            <w:r>
              <w:rPr/>
              <w:t>7,652,175 shares.</w:t>
            </w:r>
          </w:p>
        </w:tc>
      </w:tr>
      <w:tr>
        <w:trPr/>
        <w:tc>
          <w:tcPr>
            <w:tcW w:w="3958" w:type="dxa"/>
            <w:tcBorders/>
          </w:tcPr>
          <w:p>
            <w:pPr>
              <w:pStyle w:val="TableContents"/>
              <w:bidi w:val="0"/>
              <w:spacing w:before="0" w:after="283"/>
              <w:jc w:val="left"/>
              <w:rPr/>
            </w:pPr>
            <w:r>
              <w:rPr/>
              <w:t>Pre-funded warrants offered by us</w:t>
            </w:r>
          </w:p>
        </w:tc>
        <w:tc>
          <w:tcPr>
            <w:tcW w:w="120" w:type="dxa"/>
            <w:tcBorders/>
            <w:vAlign w:val="bottom"/>
          </w:tcPr>
          <w:p>
            <w:pPr>
              <w:pStyle w:val="TableContents"/>
              <w:bidi w:val="0"/>
              <w:spacing w:before="0" w:after="283"/>
              <w:jc w:val="left"/>
              <w:rPr/>
            </w:pPr>
            <w:r>
              <w:rPr/>
              <w:t>  </w:t>
            </w:r>
          </w:p>
        </w:tc>
        <w:tc>
          <w:tcPr>
            <w:tcW w:w="6127" w:type="dxa"/>
            <w:tcBorders/>
          </w:tcPr>
          <w:p>
            <w:pPr>
              <w:pStyle w:val="TableContents"/>
              <w:bidi w:val="0"/>
              <w:spacing w:before="0" w:after="283"/>
              <w:jc w:val="left"/>
              <w:rPr/>
            </w:pPr>
            <w:r>
              <w:rPr/>
              <w:t>We are also offering, in lieu of shares of common stock to certain investors that so choose, pre-funded warrants to purchase 1,043,484 shares of common stock. Each pre-funded warrant will have an initial exercise price per share of $0.0001, subject to certain adjustments. The purchase price of each pre-funded warrant is equal to the price at which the share of common stock is being sold to the public in this offering, minus $0.0001. The pre-funded warrants are exercisable immediately and may be exercised at any time until all of the pre-funded warrants are exercised in full. For more information, see the section titled “Description of securities we are offering—Pre-funded warrants.” This prospectus supplement also relates to the offering of the shares of common stock issuable upon the exercise of such pre-funded warrants.</w:t>
            </w:r>
          </w:p>
        </w:tc>
      </w:tr>
      <w:tr>
        <w:trPr>
          <w:trHeight w:val="12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bidi w:val="0"/>
              <w:spacing w:before="0" w:after="283"/>
              <w:jc w:val="left"/>
              <w:rPr/>
            </w:pPr>
            <w:r>
              <w:rPr/>
              <w:t>Option to purchase additional shares</w:t>
            </w:r>
          </w:p>
        </w:tc>
        <w:tc>
          <w:tcPr>
            <w:tcW w:w="120" w:type="dxa"/>
            <w:tcBorders/>
            <w:vAlign w:val="bottom"/>
          </w:tcPr>
          <w:p>
            <w:pPr>
              <w:pStyle w:val="TableContents"/>
              <w:bidi w:val="0"/>
              <w:spacing w:before="0" w:after="283"/>
              <w:jc w:val="left"/>
              <w:rPr/>
            </w:pPr>
            <w:r>
              <w:rPr/>
              <w:t>  </w:t>
            </w:r>
          </w:p>
        </w:tc>
        <w:tc>
          <w:tcPr>
            <w:tcW w:w="6127" w:type="dxa"/>
            <w:tcBorders/>
          </w:tcPr>
          <w:p>
            <w:pPr>
              <w:pStyle w:val="TableContents"/>
              <w:bidi w:val="0"/>
              <w:spacing w:before="0" w:after="283"/>
              <w:jc w:val="left"/>
              <w:rPr/>
            </w:pPr>
            <w:r>
              <w:rPr/>
              <w:t>We have granted the underwriters an option for a period of 30 days from the date of this prospectus supplement to purchase up to 1,304,348 additional shares.</w:t>
            </w:r>
          </w:p>
        </w:tc>
      </w:tr>
      <w:tr>
        <w:trPr>
          <w:trHeight w:val="12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bidi w:val="0"/>
              <w:spacing w:before="0" w:after="283"/>
              <w:jc w:val="left"/>
              <w:rPr/>
            </w:pPr>
            <w:r>
              <w:rPr/>
              <w:t>Common stock to be outstanding immediately after this offering</w:t>
            </w:r>
          </w:p>
        </w:tc>
        <w:tc>
          <w:tcPr>
            <w:tcW w:w="120" w:type="dxa"/>
            <w:tcBorders/>
            <w:vAlign w:val="bottom"/>
          </w:tcPr>
          <w:p>
            <w:pPr>
              <w:pStyle w:val="TableContents"/>
              <w:bidi w:val="0"/>
              <w:spacing w:before="0" w:after="283"/>
              <w:jc w:val="left"/>
              <w:rPr/>
            </w:pPr>
            <w:r>
              <w:rPr/>
              <w:t>  </w:t>
            </w:r>
          </w:p>
        </w:tc>
        <w:tc>
          <w:tcPr>
            <w:tcW w:w="6127" w:type="dxa"/>
            <w:tcBorders/>
          </w:tcPr>
          <w:p>
            <w:pPr>
              <w:pStyle w:val="TableContents"/>
              <w:bidi w:val="0"/>
              <w:spacing w:before="0" w:after="283"/>
              <w:jc w:val="left"/>
              <w:rPr/>
            </w:pPr>
            <w:r>
              <w:rPr/>
              <w:t>52,633,781 shares (or 53,938,129 shares if the underwriters exercise in full their option to purchase additional shares), in each case, assuming no exercise of any pre-funded warrants issued in this offering.</w:t>
            </w:r>
          </w:p>
        </w:tc>
      </w:tr>
      <w:tr>
        <w:trPr>
          <w:trHeight w:val="12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bidi w:val="0"/>
              <w:spacing w:before="0" w:after="283"/>
              <w:jc w:val="left"/>
              <w:rPr/>
            </w:pPr>
            <w:r>
              <w:rPr/>
              <w:t>Use of proceeds</w:t>
            </w:r>
          </w:p>
        </w:tc>
        <w:tc>
          <w:tcPr>
            <w:tcW w:w="120" w:type="dxa"/>
            <w:tcBorders/>
            <w:vAlign w:val="bottom"/>
          </w:tcPr>
          <w:p>
            <w:pPr>
              <w:pStyle w:val="TableContents"/>
              <w:bidi w:val="0"/>
              <w:spacing w:before="0" w:after="283"/>
              <w:jc w:val="left"/>
              <w:rPr/>
            </w:pPr>
            <w:r>
              <w:rPr/>
              <w:t>  </w:t>
            </w:r>
          </w:p>
        </w:tc>
        <w:tc>
          <w:tcPr>
            <w:tcW w:w="6127" w:type="dxa"/>
            <w:tcBorders/>
          </w:tcPr>
          <w:p>
            <w:pPr>
              <w:pStyle w:val="TableContents"/>
              <w:bidi w:val="0"/>
              <w:spacing w:before="0" w:after="0"/>
              <w:jc w:val="left"/>
              <w:rPr>
                <w:rFonts w:ascii="Times New Roman" w:hAnsi="Times New Roman"/>
                <w:sz w:val="20"/>
              </w:rPr>
            </w:pPr>
            <w:r>
              <w:rPr>
                <w:rFonts w:ascii="Times New Roman" w:hAnsi="Times New Roman"/>
                <w:sz w:val="20"/>
              </w:rPr>
              <w:t>We estimate that the net proceeds to us from this offering, after deducting the underwriting discounts and commissions and estimated offering expenses payable by us, will be approximately $140.1 million (or approximately $161.2 million if the underwriters exercise in full their option to purchase additional shares).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We intend to use the net proceeds from this offering for general corporate purposes, which may include costs associated with the commercialization of Mint, including expansion of our manufacturing facilities, research and development and clinical development, investment in product enhancements, potential strategic opportunities and working capital and operating expenses. See “Use of proceeds.”</w:t>
            </w:r>
          </w:p>
        </w:tc>
      </w:tr>
      <w:tr>
        <w:trPr>
          <w:trHeight w:val="12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bidi w:val="0"/>
              <w:spacing w:before="0" w:after="283"/>
              <w:jc w:val="left"/>
              <w:rPr/>
            </w:pPr>
            <w:r>
              <w:rPr/>
              <w:t>Risk factors</w:t>
            </w:r>
          </w:p>
        </w:tc>
        <w:tc>
          <w:tcPr>
            <w:tcW w:w="120" w:type="dxa"/>
            <w:tcBorders/>
            <w:vAlign w:val="bottom"/>
          </w:tcPr>
          <w:p>
            <w:pPr>
              <w:pStyle w:val="TableContents"/>
              <w:bidi w:val="0"/>
              <w:spacing w:before="0" w:after="283"/>
              <w:jc w:val="left"/>
              <w:rPr/>
            </w:pPr>
            <w:r>
              <w:rPr/>
              <w:t>  </w:t>
            </w:r>
          </w:p>
        </w:tc>
        <w:tc>
          <w:tcPr>
            <w:tcW w:w="6127" w:type="dxa"/>
            <w:tcBorders/>
          </w:tcPr>
          <w:p>
            <w:pPr>
              <w:pStyle w:val="TableContents"/>
              <w:bidi w:val="0"/>
              <w:spacing w:before="0" w:after="283"/>
              <w:jc w:val="left"/>
              <w:rPr/>
            </w:pPr>
            <w:r>
              <w:rPr/>
              <w:t>Investing in our securities involves a high degree of risk. See “Risk factors” sections of this prospectus supplement and the documents incorporated by reference herein for a discussion of factors you should consider carefully before deciding to invest in our securities.</w:t>
            </w:r>
          </w:p>
        </w:tc>
      </w:tr>
      <w:tr>
        <w:trPr>
          <w:trHeight w:val="12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bidi w:val="0"/>
              <w:spacing w:before="0" w:after="283"/>
              <w:jc w:val="left"/>
              <w:rPr/>
            </w:pPr>
            <w:r>
              <w:rPr/>
              <w:t>Nasdaq Global Market symbol</w:t>
            </w:r>
          </w:p>
        </w:tc>
        <w:tc>
          <w:tcPr>
            <w:tcW w:w="120" w:type="dxa"/>
            <w:tcBorders/>
            <w:vAlign w:val="bottom"/>
          </w:tcPr>
          <w:p>
            <w:pPr>
              <w:pStyle w:val="TableContents"/>
              <w:bidi w:val="0"/>
              <w:spacing w:before="0" w:after="283"/>
              <w:jc w:val="left"/>
              <w:rPr/>
            </w:pPr>
            <w:r>
              <w:rPr/>
              <w:t>  </w:t>
            </w:r>
          </w:p>
        </w:tc>
        <w:tc>
          <w:tcPr>
            <w:tcW w:w="6127" w:type="dxa"/>
            <w:tcBorders/>
          </w:tcPr>
          <w:p>
            <w:pPr>
              <w:pStyle w:val="TableContents"/>
              <w:bidi w:val="0"/>
              <w:spacing w:before="0" w:after="283"/>
              <w:jc w:val="left"/>
              <w:rPr/>
            </w:pPr>
            <w:r>
              <w:rPr/>
              <w:t>Our common stock is listed on The Nasdaq Global Market under the symbol “BBNX.” There is no established public trading market for the pre-funded warrants and we do not expect a market to develop. In addition, we do not intend to apply for listing of the pre-funded warrants on any securities exchange or recognized trading system. See the section titled “Description of securities we are offering—Pre-funded warrants.”</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to be outstanding immediately after this offering is based on 44,981,606 shares of our common stock outstanding as of June 30, 2026 and excludes as of that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6,913,527 shares of our common stock issuable upon the exercise of outstanding stock options, at a weighted-average exercise price of $10.23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2,424,161 shares of our common stock issuable upon vesting and settlement of restricted stock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9,365,656 shares of common stock authorized for future issuance under our 2025 Equity Incentive Plan (2025 Plan), as well as any future annual automatic increases in the number of shares of our common stock authorized for issuance under the 2025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761,403 shares of our common stock reserved for issuance under our 2025 Employee Stock Purchase Plan (ESPP), as well as any future annual automatic increases in the number of shares of our common stock authorized for issuance under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supplement assumes no exercise of the outstanding options or settlement of the outstanding restricted stock units described above, no exercise by the underwriters of their option to purchase additional shares and no exercise of pre-funded warrants offered and sold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5" w:name="supp108271_3"/>
      <w:bookmarkEnd w:id="5"/>
      <w:r>
        <w:rPr>
          <w:rFonts w:ascii="Times New Roman" w:hAnsi="Times New Roman"/>
          <w:b/>
          <w:sz w:val="20"/>
        </w:rPr>
        <w:t xml:space="preserve">Risk factors </w:t>
      </w:r>
    </w:p>
    <w:p>
      <w:pPr>
        <w:pStyle w:val="TextBody"/>
        <w:bidi w:val="0"/>
        <w:spacing w:before="120" w:after="0"/>
        <w:jc w:val="left"/>
        <w:rPr>
          <w:rFonts w:ascii="Times New Roman" w:hAnsi="Times New Roman"/>
          <w:i/>
          <w:sz w:val="20"/>
        </w:rPr>
      </w:pPr>
      <w:r>
        <w:rPr>
          <w:rFonts w:ascii="Times New Roman" w:hAnsi="Times New Roman"/>
          <w:i/>
          <w:sz w:val="20"/>
        </w:rPr>
        <w:t xml:space="preserve">Investing in our securities involves a high degree of risk. Before deciding whether to invest in our securities, you should consider carefully the risks and uncertainties described below and discussed in our most recent Annual Report on Form 10-K and Quarterly Reports on Form 10-Q, as well as any amendments thereto reflected in subsequent filings with the SEC, which are incorporated by reference into this prospectus supplement and the accompanying prospectus, together with other information contained in this prospectus supplement, the accompanying prospectus, the documents incorporated by reference herein and therein,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cashflow could be seriously harmed. This could cause the trading price of our common stock to decline, resulting in a loss of all or part of your investment. Additional risks not presently known to us or that we currently believe are immaterial may also significantly impair our business operations. Please also carefully read the section below entitled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Management will have broad discretion as to the use of the net proceeds from this offering, and we may not use the proceeds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we receive from this offering, including for any of the purposes described in the section of this prospectus supplement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could spend the proceeds in ways that do not improve our results of operations or enhance the value of our common stock. Our failure to apply these funds effectively could have a material adverse effect on our business or financial results and cause the price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the securities sold in this offering, you will experience immediate and substantial dilution in your investment. You will experience further dilution if we issue additional equity securities in the future. Sales of a substantial number of shares of our common stock by our existing stockholders in the public market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Since the price per share of our common stock (or pre-funded warrant) being offered is substantially higher than the net tangible book value per share of our common stock, you will suffer substantial dilution with respect to the net tangible book value of the common stock (or pre-funded warrant) you purchase in this offering. Based on the public offering price of $17.25 per share (or $17.2499 per pre-funded warrant), and our net tangible book value as of June 30, 2026, if you purchase shares of common stock in this offering, you will suffer immediate and substantial dilution of $9.86 per share with respect to the net tangible book value of the common stock. See “Dilution” for a more detailed discussion of the dilution you will incur if you purchase common stock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have a significant number of stock options and restricted stock units outstanding. To the extent that outstanding stock options have been or may be exercised or restricted stock units have been or may be settled, or other shares are issued, investors purchasing our common stock (or pre-funded warrants) in this offering may experience further dilution.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sales of a substantial number of shares of our outstanding common stock in the public market could occur at any time. Sales by our stockholders of a substantial number of shares, or the expectation that such sales may occur, could significantly reduce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by us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public trading market for the pre-funded warrants being sold in this offering, and we do not expect a market to develop. In addition, we do not intend to apply to list the pre-funded warrants on any securities exchange or recognized trading system. Without an active market, the liquidity of the pre-funded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any meaningful amount of additional funds upon the exercise of the pre-funded warrants; however, any exercise would increase the number of shares of our common stock eligible for future resale in the public market and result in dilution 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will be exercisable until it is fully exercised and by means of payment of the nominal cash purchase price upon exercise or by means of a “cashless exercise” according to a formula set forth in the pre-funded warrant. Accordingly, we will not receive any meaningful additional funds upon the exercise of the pre-funded warrants. To the extent such pre-funded warrants are exercised, additional shares of common stock will be issued for nominal or no additional consideration, which will result in dilution to the then existing holders of our common stock and will increase the number of shares eligible for resale in the public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owners of our common stock may not be permitted to exercise the pre-funded warrants that they hold for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holder of the pre-funded warrants will not be entitled to exercise any portion of such pre-funded warrants for common stock if, upon giving effect to such exercise, the holder would beneficially own an aggregate number of shares of our common stock (together with its attribution affiliates) that exceeds 4.99% (or 9.99%) at the initial election of the holder) of the number of shares of our common stock that would be outstanding immediately after giving effect to the exercise, as such percentage ownership is set forth in accordance with the terms of the prefunded warrants. A holder of pre-funded warrants may elect to increase the maximum ownership percentage under the pre-funded warrants to any other percentage not in excess of 19.99% upon at least 61 days’ prior notice from the holder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maintain a current and effective registration statement relating to the shares of common stock issuable upon exercise of the pre-funded warrants, holders will only be able to exercise such pre-funded warrants on a “cashless basis.” </w:t>
      </w:r>
    </w:p>
    <w:p>
      <w:pPr>
        <w:pStyle w:val="TextBody"/>
        <w:bidi w:val="0"/>
        <w:spacing w:before="120" w:after="0"/>
        <w:jc w:val="left"/>
        <w:rPr>
          <w:rFonts w:ascii="Times New Roman" w:hAnsi="Times New Roman"/>
          <w:sz w:val="20"/>
        </w:rPr>
      </w:pPr>
      <w:r>
        <w:rPr>
          <w:rFonts w:ascii="Times New Roman" w:hAnsi="Times New Roman"/>
          <w:sz w:val="20"/>
        </w:rPr>
        <w:t xml:space="preserve">If we do not maintain a current and effective registration statement relating to the shares of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common stock that holders will receive upon exercise of the pre-funded warrants will be fewer than it would have been had such holder exercised his, her or its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common stock issuable upon exercise of the pre-funded warrants is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pre-funded warrants will have no rights as common stockholders until they acquire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you acquire shares of our common stock upon exercise of the pre-funded warrants, you will have no rights with respect to our common stock issuable upon exercise of the pre-funded warrants, including the right to receive dividend payments, vote or respond to tender offers. Upon exercise of your pre-funded warrants, you will be entitled to exercise the rights of a common stockholder only as to matters for which the record date occurs after the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could be subject to securities class 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past, securities class action litigation has often been brought against a company following a decline in the market price of its securities. This risk is especially relevant for us because medical device companies have experienced significant stock price volatility in recent years. For example, in September 2026, a purported stockholder of our company filed a securities class action against us and certain of our executive officers in the United States District Court for the Central District of California, captioned </w:t>
      </w:r>
      <w:r>
        <w:rPr>
          <w:rFonts w:ascii="Times New Roman" w:hAnsi="Times New Roman"/>
          <w:i/>
          <w:sz w:val="20"/>
        </w:rPr>
        <w:t>Holtzman v. Beta Bionics, Inc. et al.</w:t>
      </w:r>
      <w:r>
        <w:rPr>
          <w:rFonts w:ascii="Times New Roman" w:hAnsi="Times New Roman"/>
          <w:sz w:val="20"/>
        </w:rPr>
        <w:t xml:space="preserve">, Case No. 2:26-cv-09999, alleging violations of certain federal securities laws related to certain statements made with respect to the safety, efficacy and commercial success of iLet. We intend to vigorously defend ourselves in this matter. If we are not successful in defense of these claims or any other claims we may face in the future, we may have to make significant payments to, or other settlements with, our stockholders and their attorneys. Even if such claims are not successful, this litigation has resulted in additional costs to us and this litigation and any other claims we may face in the future could result in further substantial costs and diversion of our management’s attention and resources in the future, which could have a material adverse effect on our business, operating results or financial condition. Additionally, the increase in the cost of directors’ and officers’ liability insurance may cause us to opt for lower overall policy limits or to forgo insurance that we may otherwise rely on to cover significant defense costs, settlements and damages awarded to plaintiffs.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highly dependent on the success of our iLet and Mint for the treatment of T1D, which are cleared by the FDA for commercial sale in the United States for the treatment of T1D. If we are unable to obtain and maintain regulatory clearance or approval for planned modifications to the iLet or Mint or for new indications, or for any current or future development-stage products, such as 3D Intelligence, iLet 3D and Mint 3D, or if we are unsuccessful in our efforts to continue to commercialize our cleared products,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one commercialized device, the iLet, which is an automated insulin dosing system cleared for the treatment of T1D in adults and children six years of age and older. Our business primarily depends on the successful commercialization of the iLet. In September 2026, we announced FDA clearance of Mint, our patch pump featuring a transformative reusable and disposable architecture, for the treatment of T1D in adults and children six years of age and older, and our expected initiation of full commercialization of Mint in the United States in the first quarter of 2027. We currently have no other products cleared for sale and may never be able to develop other marketable products. Additionally, in September 2026, we announced our submission of a 510(k) application to the FDA for 3D Intelligence, our anticipated next-generation insulin dosing algorithm and, subject to and following regulatory clearance by the FDA, our expectation for 3D Intelligence to power both iLet 3D and Mint 3D, our investigational next-generation automated insulin delivery platforms. Our iLet will require additional clinical development, testing and marketing authorization or regulatory clearance before we are permitted to commercialize it in a bihormonal system for the treatment of T1D or for any future indications we may pursue. Further, as we develop a bihormonal system of the iLet, which is designed to use both insulin and glucagon for the treatment of T1D, we will separately need to develop and obtain approval for our glucagon product candidate as a drug via an NDA submission in order to successfully commercialize our iLet in a bihormonal system. We expect that the bihormonal system will require completion of clinical trials and submission of a 510(k) for both the infusion pump and algorithm. In addition, we expect that the single hormone and bihormonal algorithms will require separate studies to be performed in T1D and T2D populations in order to seek clearance in these patient populations. Our iLet and Mint will also require additional marketing authorization or regulatory clearance before we are permitted to commercialize them with 3D Intelligence as iLet 3D and Mint 3D, respectively. However, there can be no assurance that the FDA will clear the 3D Intelligence or any other application on the anticipated timeline, or at all, that we will ultimately be able to market and commercialize 3D Intelligence, iLet 3D or Mint 3D, or that we will be able to scale our manufacturing processes sufficiently to meet anticipated demand at launch. The future regulatory and commercial success of 3D Intelligence, iLet and Mint, including versions powered by 3D Intelligence, and any other product candidate is subject to a number of risks, including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preclinical studies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enrollment in, and completion of, planned and future clinical trials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our financial and other resources to complete the necessary clinical trials and regulatory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patient enrollment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data from our clinical program that supports an acceptable risk-benefit profile in the intended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required by the FDA to conduct additional clinical trials or to modify the design of current or planned trials to support any future application seeking marketing authorization or clearance of the iLet in a bihormonal system for the treatment of T1D or for other indications we may pursue, or seeking initial marketing authorization or clearance for any of our other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and maintenance of marketing authorizations or clearances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and trade secret protection and regulatory exclusivity, including for our iLet;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arrangements with third-party manufacturers and ensuring such third-party manufacturers supply sufficient quantities of components of our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scaling up our manufacturing capabilities, for both commercial and clinical supplies of our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entry into collaborations to further the development of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expanding sales, marketing and distribution capabilities as we continue our commercialization efforts,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launching and driving commercial sales of our existing products and any other product candidate, if authorized for marketing or cleared;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our products by people with diabetes,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following marketing authorization or clearance, including in respect of our post-market surveillance order issued by the FDA for our iLet;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managing and responding to voluntary or mandatory recalls, including our four open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regulatory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treatment options and the availability, perceived advantages, relative cost, relative safety and relative effectiveness of alternative and competing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emergence of competing technologies and other adverse market developments, and our need to enhance existing products and/or develop new products to maintain market share in response to such competing technologies or market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healthcare coverage and adequate reimbursement from third-party payors;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to build and maintain an organization of people who can successfully develop our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enforcing and defending intellectual property rights and claims.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risks are beyond our control, including the risks related to clinical development, the regulatory submission, oversight and review processes, potential threats to our intellectual property rights and the manufacturing, marketing and sales efforts of any future collaborator. If we are not successful in commercializing our iLet or Mint, or in obtaining marketing authorization or clearance for the iLet in its bihormonal system for the treatment of T1D or for the iLet or Mint in other indications, such as T2D, the investigational glucagon product, or any other product candidate, or if we experience delays as a result of any of these risks or otherwise, our business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Furthermore, even though we have received clearance for our iLet for insulin-only delivery for the treatment of T1D, any other configuration for the treatment of T1D such as a bihormonal system using both insulin and glucagon or other indications we may pursue for which we receive marketing authorization or clearance may be subject to limitations on the patient populations for which we may market the product. Even if we are able to obtain the requisite financing to continue to fund our development programs, we cannot assure you that we will successfully develop, obtain marketing authorization or clearance for, and commercialize our iLet in its bihormonal system for the treatment of T1D or for any future indication we may pursue, the investigational glucagon product, or any other development-stage products. If we are unable to continue commercializing the iLet or Mint for T1D, or if we are unable to develop, or obtain marketing authorization or clearance for, or, if authorized for marketing or cleared, successfully commercialize the iLet or Mint for the treatment of any future indications, we may not be able to generate sufficient revenue to continue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6" w:name="supp108271_4"/>
      <w:bookmarkEnd w:id="6"/>
      <w:r>
        <w:rPr>
          <w:rFonts w:ascii="Times New Roman" w:hAnsi="Times New Roman"/>
          <w:b/>
          <w:sz w:val="20"/>
        </w:rPr>
        <w:t xml:space="preserve">Special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prospectus supplement, the accompanying prospectus and the documents incorporated by reference herein that are not strictly historical in nature are forward-looking statements within the meaning of Section 27A of the Securities Act of 1933, as amended (the Securities Act), and within the meaning of Section 21E of the Securities Exchange Act of 1934, as amended (the Exchange Act). These forward-looking statements are subject to the “safe harbor” created by Section 27A of the Securities Act and Section 21E of the Exchange Act and may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future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potential clearance by the FDA, including of 3D Intelligence, and the timing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implication and potential benefits of the FDA’s clearance of Mint;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certainty of full commercial launch of Mint, iLet 3D and Mint 3D in the United States and related updates;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manufacturing timeline and capacity of production of Mint at commercial launch and during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implications and potential benefits of 3D Intelligence, iLet 3D and Mint 3D for people with diabetes;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coverage for Mint at commercial launch and within the first year of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effectiveness, and safety of the iLet, Mint, 3D Intelligence algorithm and other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with regard to the design, results and timing of our research and development efforts, clinical trials and real world use or experience, including the timing and availability of data from such trials and real world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accurately forecast demand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future growth of our sales and marketing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about and our ability to implement our multi-channel coverage and reimbursement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forecasts regarding commercial demand for our products and our manufacturing expectations and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regulatory approval for our products or obtain regulatory approval for new products in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development, regulatory approval and commercialization of competing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and hire senior management and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qualify as an emerging growth company under the Jumpstart Our Business Startups Act (JOBS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impact of geopolitical and macroeconomic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and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obtain and maintain intellectual property protection for our products, as well as our ability to operate our business without infringing the intellectual property rights of others;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use of our existing cash, cash equivalents and short-term and long-term investments, including expected use of net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“anticipates,” “believes,” “could,” “designed to,” “estimates,” “expects,” “goal,” “intends,” “may,” “plans,” “potential,” “predicts,” “projects,” “should,” “suggest,”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this prospectus supplement, the accompanying prospectus and the documents incorporated by reference herein or any free writing prospectus that we authorize for use in connection with this offering.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supplement, the accompanying prospectus and the documents incorporated by reference herein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common stock in this offering, you should carefully consider the risk factors discussed herein or incorporated by reference, in addition to the other information set forth in this prospectus supplement, the accompanying prospectus, any free writing prospectus we authorize for use in connection with this offering and the documents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7" w:name="supp108271_5"/>
      <w:bookmarkEnd w:id="7"/>
      <w:r>
        <w:rPr>
          <w:rFonts w:ascii="Times New Roman" w:hAnsi="Times New Roman"/>
          <w:b/>
          <w:sz w:val="20"/>
        </w:rPr>
        <w:t xml:space="preserve">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We estimate that we will receive net proceeds of approximately $140.1 million from the sale of shares of our common stock and pre-funded warrants offered by us in this offering, after deducting the underwriting discounts and commissions and estimated offering expenses payable by us. If the underwriters exercise their option to purchase additional shares of our common stock in full, we estimate that the net proceeds to us will be approximately $161.2 million, after deducting the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for general corporate purposes, which may include costs associated with the commercialization of Mint, including expansion of our manufacturing facilities, research and development and clinical development, investment in product enhancements, potential strategic opportunities and working capital and operating expenses. We may also use a portion of the net proceeds to in-license, invest in or acquire businesses, assets or technologies that we believe are complementary to our own, although we have no current plans, commitments or agreements with respect to any acquisitions.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timing of these expenditures will depend on a number of factors, including factors described in the section titled “Risk factors” in this prospectus supplement and the accompanying prospectus, including the information incorporated by reference herein and therein, as well as the amount of cash used in our operations and any unforeseen cash needs. As of the date of this prospectus supplement, we cannot specify with certainty all of the particular uses of the net proceeds from this offering. Accordingly, we will retain broad discretion over the use of such proceeds. Pending the use of the net proceeds from this offering as described above, we intend to invest the net proceeds in short- and intermediate-term, investment-grade,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8" w:name="supp108271_6"/>
      <w:bookmarkEnd w:id="8"/>
      <w:r>
        <w:rPr>
          <w:rFonts w:ascii="Times New Roman" w:hAnsi="Times New Roman"/>
          <w:b/>
          <w:sz w:val="20"/>
        </w:rPr>
        <w:t xml:space="preserve">Dilution </w:t>
      </w:r>
    </w:p>
    <w:p>
      <w:pPr>
        <w:pStyle w:val="TextBody"/>
        <w:bidi w:val="0"/>
        <w:spacing w:before="120" w:after="0"/>
        <w:jc w:val="left"/>
        <w:rPr>
          <w:rFonts w:ascii="Times New Roman" w:hAnsi="Times New Roman"/>
          <w:sz w:val="20"/>
        </w:rPr>
      </w:pPr>
      <w:r>
        <w:rPr>
          <w:rFonts w:ascii="Times New Roman" w:hAnsi="Times New Roman"/>
          <w:sz w:val="20"/>
        </w:rPr>
        <w:t xml:space="preserve">Investors purchasing shares of our common stock (or pre-funded warrants in lieu thereof) in this offering will experience immediate and substantial dilution in the pro forma net tangible book value of their shares of common stock (or pre-funded warrants in lieu thereof). Dilution in net tangible book value represents the difference between the public offering price per share of common stock (or pre-funded warrants in lieu thereof) and the adjusted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net tangible book value of our common stock as of June 30, 2026 was $256.4 million, or $5.70 per share. Historical net tangible book value per share of our common stock represents our total tangible assets (total assets less intangible assets) less total liabilities, divided by the number of shares of common stock outstanding as of that date.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issuance of 7,652,175 shares of our common stock and pre-funded warrants to purchase up to 1,043,484 shares of our common stock at the public offering price of $17.25 per share, or $17.2499 per pre-funded warrant (which equals the price per share at which shares of our common stock are being sold in this offering, minus the $0.0001 per share exercise price of each such pre-funded warrant), including shares of common stock issuable upon exercise of the pre-funded warrants but excluding any resulting accounting associated therewith, and after deducting the underwriting discounts and commissions and estimated offering expenses payable by us, our as adjusted net tangible book value as of June 30, 2026 would have been approximately $396.5 million, or $7.39 per share of common stock. This represents an immediate increase in net tangible book value of $1.69 per share to existing stockholders and an immediate dilution of $9.86 per share to new investors purchasing our common stock in this offering (or pre-funded warrants in lieu thereof).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to new investors: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64"/>
        <w:gridCol w:w="364"/>
        <w:gridCol w:w="140"/>
        <w:gridCol w:w="709"/>
        <w:gridCol w:w="60"/>
        <w:gridCol w:w="364"/>
        <w:gridCol w:w="140"/>
        <w:gridCol w:w="751"/>
        <w:gridCol w:w="63"/>
      </w:tblGrid>
      <w:tr>
        <w:trPr/>
        <w:tc>
          <w:tcPr>
            <w:tcW w:w="5164"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17.25</w:t>
            </w:r>
          </w:p>
        </w:tc>
        <w:tc>
          <w:tcPr>
            <w:tcW w:w="63" w:type="dxa"/>
            <w:tcBorders/>
            <w:shd w:fill="CCEEFF" w:val="clear"/>
            <w:vAlign w:val="bottom"/>
          </w:tcPr>
          <w:p>
            <w:pPr>
              <w:pStyle w:val="TableContents"/>
              <w:bidi w:val="0"/>
              <w:spacing w:before="0" w:after="283"/>
              <w:jc w:val="left"/>
              <w:rPr/>
            </w:pPr>
            <w:r>
              <w:rPr/>
              <w:t> </w:t>
            </w:r>
          </w:p>
        </w:tc>
      </w:tr>
      <w:tr>
        <w:trPr/>
        <w:tc>
          <w:tcPr>
            <w:tcW w:w="5164"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June 30, 2026</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9" w:type="dxa"/>
            <w:tcBorders/>
            <w:vAlign w:val="bottom"/>
          </w:tcPr>
          <w:p>
            <w:pPr>
              <w:pStyle w:val="TableContents"/>
              <w:bidi w:val="0"/>
              <w:spacing w:before="0" w:after="283"/>
              <w:jc w:val="right"/>
              <w:rPr/>
            </w:pPr>
            <w:r>
              <w:rPr/>
              <w:t> </w:t>
            </w:r>
            <w:r>
              <w:rPr/>
              <w:t>5.70</w:t>
            </w:r>
          </w:p>
        </w:tc>
        <w:tc>
          <w:tcPr>
            <w:tcW w:w="6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purchasing shares of our common stock (or pre-funded warrants in lieu thereof) in this offering</w:t>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1.69</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164"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64"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this offering</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7.39</w:t>
            </w:r>
          </w:p>
        </w:tc>
        <w:tc>
          <w:tcPr>
            <w:tcW w:w="63" w:type="dxa"/>
            <w:tcBorders/>
            <w:vAlign w:val="bottom"/>
          </w:tcPr>
          <w:p>
            <w:pPr>
              <w:pStyle w:val="TableContents"/>
              <w:bidi w:val="0"/>
              <w:spacing w:before="0" w:after="283"/>
              <w:jc w:val="left"/>
              <w:rPr/>
            </w:pPr>
            <w:r>
              <w:rPr/>
              <w:t> </w:t>
            </w:r>
          </w:p>
        </w:tc>
      </w:tr>
      <w:tr>
        <w:trPr/>
        <w:tc>
          <w:tcPr>
            <w:tcW w:w="5164"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this offering</w:t>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9.86</w:t>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164"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in full to purchase an additional 1,304,348 shares of our common stock in this offering, the as adjusted net tangible book value per share after the offering would be $7.60 per share, the increase in net tangible book value per share to existing stockholders would be $1.90 per share and the dilution to new investors purchasing our common stock (or pre-funded warrants in lieu thereof) in this offering would be $9.65 per share.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44,981,606 shares of our common stock outstanding as of June 30, 2026, and excludes as of that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6,913,527 shares of our common stock issuable upon the exercise of outstanding stock options, at a weighted-average exercise price of $10.23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2,424,161 shares of our common stock issuable upon vesting and settlement of restricted stock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9,365,656 shares of common stock authorized for future issuance under our 2025 Equity Incentive Plan (2025 Plan), as well as any future annual automatic increases in the number of shares of our common stock authorized for issuance under the 2025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761,403 shares of our common stock reserved for issuance under our 2025 Employee Stock Purchase Plan (ESPP), as well as any future annual automatic increases in the number of shares of our common stock authorized for issuance under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we may choose to raise additional capital due to market conditions or strategic considerations, even if we believe we have sufficient funds for our current or future operating plans. To the extent that we raise additional capital by issuing equity securities or convertible debt, your ownership will be further diluted.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existing options are exercised or restricted stock units vest, new options or restricted stock units are issued under our share-based compensation plans or we issue additional shares of common stock under the ESPP in the future, there will be further dilution to investors participating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9" w:name="supp108271_6a"/>
      <w:bookmarkEnd w:id="9"/>
      <w:r>
        <w:rPr>
          <w:rFonts w:ascii="Times New Roman" w:hAnsi="Times New Roman"/>
          <w:b/>
          <w:sz w:val="20"/>
        </w:rPr>
        <w:t xml:space="preserve">Description of securities we are offering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shares of our common stock, or for certain investors that so choose, in lieu of shares of common stock, pre-funded warrants to purchase shares of our common stock. The common stock and the pre-funded warrants will be sold at the same time. The shares of common stock and the pre-funded warrants are immediately separable and will be issued separately. The shares of common stock issuable from time to time upon exercise of the pre-funded warrants, if any, are also being offered pursuant to this prospectus supplement and the accompanying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entitled to one vote for each share held of record on all matters submitted to a vote of the stockholders, including the election of directors, and does not have cumulative voting rights. Accordingly, the holders of a majority of the shares of our common stock entitled to vote in any election of directors can elect all of the directors standing for election.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the holders of common stock are entitled to receive dividends, if any, as may be declared from time to time by our board of directors out of legally available funds. </w:t>
      </w:r>
    </w:p>
    <w:p>
      <w:pPr>
        <w:pStyle w:val="TextBody"/>
        <w:bidi w:val="0"/>
        <w:spacing w:before="36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i/>
          <w:sz w:val="20"/>
        </w:rPr>
      </w:pPr>
      <w:r>
        <w:rPr>
          <w:rFonts w:ascii="Times New Roman" w:hAnsi="Times New Roman"/>
          <w:i/>
          <w:sz w:val="20"/>
        </w:rPr>
        <w:t xml:space="preserve">The material terms and provisions of the pre-funded warrants being issued in this offering are summarized below. The following description is subject to, and qualified in its entirety by, the form of pre-funded warrant which will be filed as an exhibit to a Current Report on Form 8-K to be filed by us with the SEC, in connection with this offering. You should review the form of pre-funded warrant for a complete description of the terms and conditions applicable to the pre-funded warrants. </w:t>
      </w:r>
    </w:p>
    <w:p>
      <w:pPr>
        <w:pStyle w:val="TextBody"/>
        <w:bidi w:val="0"/>
        <w:spacing w:before="240" w:after="0"/>
        <w:jc w:val="left"/>
        <w:rPr>
          <w:rFonts w:ascii="Times New Roman" w:hAnsi="Times New Roman"/>
          <w:sz w:val="20"/>
        </w:rPr>
      </w:pPr>
      <w:r>
        <w:rPr>
          <w:rFonts w:ascii="Times New Roman" w:hAnsi="Times New Roman"/>
          <w:i/>
          <w:sz w:val="20"/>
        </w:rPr>
        <w:t>Exercisability</w:t>
      </w:r>
      <w:r>
        <w:rPr>
          <w:rFonts w:ascii="Times New Roman" w:hAnsi="Times New Roman"/>
          <w:sz w:val="20"/>
        </w:rPr>
        <w:t xml:space="preserve">. The pre-funded warrants will be immediately exercisable, at the option of each holder, in whole or in part by delivering to us a duly executed exercise notice and by payment in full in immediately available funds for the number of shares of common stock purchased upon such exercise. The holder may also exercise the pre-funded warrant through a “cashless exercise,” in which case, the holder would receive upon such exercise, the net number of shares of common stock determined according to the formula set forth in the pre-funded warrant. The exercise price must be paid by the holder in cash in immediately available funds. </w:t>
      </w:r>
    </w:p>
    <w:p>
      <w:pPr>
        <w:pStyle w:val="TextBody"/>
        <w:bidi w:val="0"/>
        <w:spacing w:before="240" w:after="0"/>
        <w:jc w:val="left"/>
        <w:rPr>
          <w:rFonts w:ascii="Times New Roman" w:hAnsi="Times New Roman"/>
          <w:sz w:val="20"/>
        </w:rPr>
      </w:pPr>
      <w:r>
        <w:rPr>
          <w:rFonts w:ascii="Times New Roman" w:hAnsi="Times New Roman"/>
          <w:i/>
          <w:sz w:val="20"/>
        </w:rPr>
        <w:t>Exercise limitations</w:t>
      </w:r>
      <w:r>
        <w:rPr>
          <w:rFonts w:ascii="Times New Roman" w:hAnsi="Times New Roman"/>
          <w:sz w:val="20"/>
        </w:rPr>
        <w:t xml:space="preserve">. A holder (together with its affiliates and other attribution parties) may not exercise any portion of a pre-funded warrant to the extent that immediately prior to or after giving effect to such exercise the holder would own more than 4.99% (or 9.99%) of our outstanding common stock immediately after exercise, which percentage may be changed at the holder’s election to a higher or lower percentage not in excess of 19.99% (if exceeding such percentage would result in a change of control under Nasdaq Listing Rule 5635(b) or any successor rule), provided that any such increase will require the holder to provide us with at least 61 days’ advance notice. </w:t>
      </w:r>
    </w:p>
    <w:p>
      <w:pPr>
        <w:pStyle w:val="TextBody"/>
        <w:bidi w:val="0"/>
        <w:spacing w:before="240" w:after="0"/>
        <w:jc w:val="left"/>
        <w:rPr>
          <w:rFonts w:ascii="Times New Roman" w:hAnsi="Times New Roman"/>
          <w:sz w:val="20"/>
        </w:rPr>
      </w:pPr>
      <w:r>
        <w:rPr>
          <w:rFonts w:ascii="Times New Roman" w:hAnsi="Times New Roman"/>
          <w:i/>
          <w:sz w:val="20"/>
        </w:rPr>
        <w:t>Exercise price and term</w:t>
      </w:r>
      <w:r>
        <w:rPr>
          <w:rFonts w:ascii="Times New Roman" w:hAnsi="Times New Roman"/>
          <w:sz w:val="20"/>
        </w:rPr>
        <w:t xml:space="preserve">. Each pre-funded warrant offered hereby has an initial exercise price per share equal to $0.0001. The pre-funded warrants are immediately exercisable, may be exercised at any time and will not expire until exercised in full. The exercise price and number of shares of common stock issuable upon exercise is subject to adjustment in the event of stock dividends and distributions, stock splits, stock combinations, reclassifications or similar events affecting our common stock. </w:t>
      </w:r>
    </w:p>
    <w:p>
      <w:pPr>
        <w:pStyle w:val="TextBody"/>
        <w:bidi w:val="0"/>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Subject to compliance with any applicable securities laws, the pre-funded warrants are separately tradeable immediately after issuance at the option of the holders and may be transferred at the option of the holders. </w:t>
      </w:r>
    </w:p>
    <w:p>
      <w:pPr>
        <w:pStyle w:val="TextBody"/>
        <w:bidi w:val="0"/>
        <w:spacing w:before="240" w:after="0"/>
        <w:jc w:val="left"/>
        <w:rPr>
          <w:rFonts w:ascii="Times New Roman" w:hAnsi="Times New Roman"/>
          <w:sz w:val="20"/>
        </w:rPr>
      </w:pPr>
      <w:r>
        <w:rPr>
          <w:rFonts w:ascii="Times New Roman" w:hAnsi="Times New Roman"/>
          <w:i/>
          <w:sz w:val="20"/>
        </w:rPr>
        <w:t>No listing</w:t>
      </w:r>
      <w:r>
        <w:rPr>
          <w:rFonts w:ascii="Times New Roman" w:hAnsi="Times New Roman"/>
          <w:sz w:val="20"/>
        </w:rPr>
        <w:t xml:space="preserve">. There is no established public trading market for the pre-funded warrants and we do not expect a market to develop. In addition, we do not intend to apply for listing of the pre-funded warrants on any securities exchange or recognized trading system, including The Nasdaq Global Market. Without an active market, the liquidity of the pre-funded warrants will be limited. </w:t>
      </w:r>
    </w:p>
    <w:p>
      <w:pPr>
        <w:pStyle w:val="TextBody"/>
        <w:bidi w:val="0"/>
        <w:spacing w:before="240" w:after="0"/>
        <w:jc w:val="left"/>
        <w:rPr>
          <w:rFonts w:ascii="Times New Roman" w:hAnsi="Times New Roman"/>
          <w:sz w:val="20"/>
        </w:rPr>
      </w:pPr>
      <w:r>
        <w:rPr>
          <w:rFonts w:ascii="Times New Roman" w:hAnsi="Times New Roman"/>
          <w:i/>
          <w:sz w:val="20"/>
        </w:rPr>
        <w:t>Fundamental transactions</w:t>
      </w:r>
      <w:r>
        <w:rPr>
          <w:rFonts w:ascii="Times New Roman" w:hAnsi="Times New Roman"/>
          <w:sz w:val="20"/>
        </w:rPr>
        <w:t xml:space="preserve">. 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more than 50% of the voting power represented by our outstanding common stock, the pre-funded warrants will be deemed to be fully exercised as of immediately prior to the consummation of such transaction, and the holders thereof will be entitled to receive the kind and amount of securities, cash or other property as holders of common stock in such fundamental transaction. </w:t>
      </w:r>
    </w:p>
    <w:p>
      <w:pPr>
        <w:pStyle w:val="TextBody"/>
        <w:bidi w:val="0"/>
        <w:spacing w:before="240" w:after="0"/>
        <w:jc w:val="left"/>
        <w:rPr>
          <w:rFonts w:ascii="Times New Roman" w:hAnsi="Times New Roman"/>
          <w:sz w:val="20"/>
        </w:rPr>
      </w:pPr>
      <w:r>
        <w:rPr>
          <w:rFonts w:ascii="Times New Roman" w:hAnsi="Times New Roman"/>
          <w:i/>
          <w:sz w:val="20"/>
        </w:rPr>
        <w:t>Rights as a stockholder</w:t>
      </w:r>
      <w:r>
        <w:rPr>
          <w:rFonts w:ascii="Times New Roman" w:hAnsi="Times New Roman"/>
          <w:sz w:val="20"/>
        </w:rPr>
        <w:t xml:space="preserve">. Except as otherwise provided in the pre-funded warrants or by virtue of a holder’s ownership of shares of our common stock, the holders of the pre-funded warrants do not have the rights or privileges of holders of our common stock, including the right to vote, until they exercise their pre-funded warrants. </w:t>
      </w:r>
    </w:p>
    <w:p>
      <w:pPr>
        <w:pStyle w:val="TextBody"/>
        <w:bidi w:val="0"/>
        <w:spacing w:before="240" w:after="0"/>
        <w:jc w:val="left"/>
        <w:rPr>
          <w:rFonts w:ascii="Times New Roman" w:hAnsi="Times New Roman"/>
          <w:sz w:val="20"/>
        </w:rPr>
      </w:pPr>
      <w:r>
        <w:rPr>
          <w:rFonts w:ascii="Times New Roman" w:hAnsi="Times New Roman"/>
          <w:i/>
          <w:sz w:val="20"/>
        </w:rPr>
        <w:t>Warrant agent</w:t>
      </w:r>
      <w:r>
        <w:rPr>
          <w:rFonts w:ascii="Times New Roman" w:hAnsi="Times New Roman"/>
          <w:sz w:val="20"/>
        </w:rPr>
        <w:t xml:space="preserve">. We will act as warrant agent for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10" w:name="supp108271_7"/>
      <w:bookmarkEnd w:id="10"/>
      <w:r>
        <w:rPr>
          <w:rFonts w:ascii="Times New Roman" w:hAnsi="Times New Roman"/>
          <w:b/>
          <w:sz w:val="20"/>
        </w:rPr>
        <w:t xml:space="preserve">Material U.S. federal income tax consequences of our common stock and pre-funded warrants for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material U.S. federal income tax consequences of the ownership and disposition of our common stock and pre-funded warrants offered pursuant to this prospectus supplement. This discussion is not a complete analysis of all potential U.S. federal income tax consequences relating thereto, does not address the potential application of the Medicare contribution tax on net investment income, any alternative minimum tax, or the special tax accounting rules under Section 451(b) of the Internal Revenue Code of 1986, as amended (the Code), and does not address any U.S. federal non-income tax consequences such as estate or gift tax consequences or any tax consequences arising under any state, local, or non-U.S. tax laws. This discussion is based on the Code and applicable Treasury Regulations promulgated thereunder, published rulings and administrative pronouncements of the Internal Revenue Service (the IRS) and judicial decisions,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who purchase our common stock or pre-funded warrants offered by this prospectus supplement and who hold our common stock or pre-funded warrants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S corporations or other pass-through entities, or disregarded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controlled foreign corporations” or “foreign 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financial institutions, investment funds, insurance companies, brokers or 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elected to mark securities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and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our common stock through the exercise of employee stock options or otherwise as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common stock or pre-funded warrants that constitute “qualified small business stock” under Section 1202 of the Code, or “Section 1244 stock” under Section 1244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our common stock or pre-funded warrants in a transaction subject to the gain rollover provisions of the Code (including Section 1045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or pre-funded warrants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our common stock and/or our pre-funded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persons whose “functional currency” is not the United States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or pre-funded warrants as part of a hedging or conversion transaction or straddle, or a constructive sale, or other risk reduction strategy or integrated investment.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classified as a partnership for U.S. federal income tax purposes holds our common stock or pre-funded warrants, the U.S. federal income tax treatment of a partner in the partnership will generally depend on the status of the partner, the activities of the partnership and certain determinations made at the partner level. Partnerships holding our common stock or pre-funded warrants and the partners in such partnerships are urged to consult their tax advisors about the particular U.S. federal income tax consequences to them of acquiring, owning and disposing of our common stock or pre-funded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PROSPECTIVE INVESTORS SHOULD CONSULT THEIR TAX ADVISORS REGARDING THE PARTICULAR U.S. FEDERAL INCOME TAX CONSEQUENCES TO THEM OF ACQUIRING, OWNING, AND DISPOSING OF OUR COMMON STOCK OR PRE-FUNDED WARRANTS, AS WELL AS ANY TAX CONSEQUENCES ARISING UNDER ANY STATE, LOCAL, OR NON-U.S. TAX LAWS AND ANY U.S. FEDERAL NON-INCOME TAX LAWS, OR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our common stock or pre-funded warrants that is a “U.S. person” (as defined below) and is not a partnership (including any entity or arrangement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(1) whose administration is subject to the primary supervision of a U.S. court and which has one or more United States persons (within the meaning of Code Section 7701(a)(30)) who have the authority to control all substantial decisions of the trust or (2) that has a valid election in effect under applicable Treasury Regulations to be treated as a United States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discussion, a “non-U.S. holder” is a beneficial owner of our common stock or pre-funded warrants that is neither a U.S. person nor a partnership (including any entity or arrangement treated as a partnership)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Characterization of the pre-funded warrants for tax purposes </w:t>
      </w:r>
    </w:p>
    <w:p>
      <w:pPr>
        <w:pStyle w:val="TextBody"/>
        <w:bidi w:val="0"/>
        <w:spacing w:before="120" w:after="0"/>
        <w:jc w:val="left"/>
        <w:rPr>
          <w:rFonts w:ascii="Times New Roman" w:hAnsi="Times New Roman"/>
          <w:sz w:val="20"/>
        </w:rPr>
      </w:pPr>
      <w:r>
        <w:rPr>
          <w:rFonts w:ascii="Times New Roman" w:hAnsi="Times New Roman"/>
          <w:sz w:val="20"/>
        </w:rPr>
        <w:t xml:space="preserve">Although the characterization of the pre-funded warrants for U.S. federal income tax purposes is not entirely clear, because the exercise price of the pre-funded warrants is a nominal amount, we expect to treat the pre-funded warrants as stock for U.S. federal income tax purposes. Accordingly, no gain or loss generally should be recognized upon the exercise of a pre-funded warrant (other than with respect to any cash paid in lieu of a fractional share) and, upon exercise, the holding period of a pre-funded warrant generally should carry over to the share received. Similarly, the tax basis of the pre-funded warrant generally should carry over to the share received upon exercise, increased by the exercise price. Except where specifically noted below, the following discussion assumes our pre-funded warrants are treated as our stock. Some portions of the below discussion make reference to potential consequences associated with the acquisition, ownership and disposition of the pre-funded warrants independent of their potential characterization as stock. </w:t>
      </w:r>
    </w:p>
    <w:p>
      <w:pPr>
        <w:pStyle w:val="TextBody"/>
        <w:bidi w:val="0"/>
        <w:spacing w:before="240" w:after="0"/>
        <w:jc w:val="left"/>
        <w:rPr>
          <w:rFonts w:ascii="Times New Roman" w:hAnsi="Times New Roman"/>
          <w:sz w:val="20"/>
        </w:rPr>
      </w:pPr>
      <w:r>
        <w:rPr>
          <w:rFonts w:ascii="Times New Roman" w:hAnsi="Times New Roman"/>
          <w:sz w:val="20"/>
        </w:rPr>
        <w:t xml:space="preserve">Our position with respect to the U.S. federal income tax characterization of pre-funded warrants is not binding on the IRS and the IRS may treat the pre-funded warrants as warrants to acquire our common stock for U.S. federal income tax purposes and, if so, the amount and character of your gain with respect to an investment in our pre-funded warrants could differ from what is described herein. You should consult your tax advisor regarding the characterization of pre-funded warrants for U.S. federal income tax purposes, and the consequences to you of an investment in the pre-funded warrants based on your own particular facts and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to U.S. holders </w:t>
      </w:r>
    </w:p>
    <w:p>
      <w:pPr>
        <w:pStyle w:val="TextBody"/>
        <w:bidi w:val="0"/>
        <w:spacing w:before="120" w:after="0"/>
        <w:jc w:val="left"/>
        <w:rPr>
          <w:rFonts w:ascii="Times New Roman" w:hAnsi="Times New Roman"/>
          <w:b/>
          <w:sz w:val="20"/>
        </w:rPr>
      </w:pPr>
      <w:r>
        <w:rPr>
          <w:rFonts w:ascii="Times New Roman" w:hAnsi="Times New Roman"/>
          <w:b/>
          <w:sz w:val="20"/>
        </w:rPr>
        <w:t xml:space="preserve">Distributions on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capital stock, and we do not currently intend to pay any cash dividends on our capital stock in the foreseeable future. However, if we make cash or other property distributions on our common stock or pre-funded warrants, such distributions will constitute dividends for U.S. federal income tax purposes to the extent paid from our current or accumulated earnings and profits, as determined under U.S. federal income tax principles. Dividends received by certain non-corporate U.S. holders, including individuals, are generally taxed at long-term capital gains rates, provided certain holding period requirements are satisfied. Dividends received by a corporate U.S. holder may be eligible for a dividends received deduction, subject to applicable limitations. </w:t>
      </w:r>
    </w:p>
    <w:p>
      <w:pPr>
        <w:pStyle w:val="TextBody"/>
        <w:bidi w:val="0"/>
        <w:spacing w:before="240" w:after="0"/>
        <w:jc w:val="left"/>
        <w:rPr>
          <w:rFonts w:ascii="Times New Roman" w:hAnsi="Times New Roman"/>
          <w:sz w:val="20"/>
        </w:rPr>
      </w:pPr>
      <w:r>
        <w:rPr>
          <w:rFonts w:ascii="Times New Roman" w:hAnsi="Times New Roman"/>
          <w:sz w:val="20"/>
        </w:rPr>
        <w:t xml:space="preserve">Amounts that exceed such current and accumulated earnings and profits and, therefore, are not treated as dividends for U.S. federal income tax purposes will constitute a return of capital and will first be applied against and reduce a holder’s tax basis in our common stock or pre-funded warrants, but not below zero. Any amount distributed in excess of basis will be treated as gain realized on the sale or other disposition of our common stock or pre-funded warrants and will be treated as described under the section titled “—Sale or other disposition of our common stock or pre-funded warrants” below. </w:t>
      </w:r>
    </w:p>
    <w:p>
      <w:pPr>
        <w:pStyle w:val="TextBody"/>
        <w:bidi w:val="0"/>
        <w:spacing w:before="360" w:after="0"/>
        <w:jc w:val="left"/>
        <w:rPr>
          <w:rFonts w:ascii="Times New Roman" w:hAnsi="Times New Roman"/>
          <w:b/>
          <w:sz w:val="20"/>
        </w:rPr>
      </w:pPr>
      <w:r>
        <w:rPr>
          <w:rFonts w:ascii="Times New Roman" w:hAnsi="Times New Roman"/>
          <w:b/>
          <w:sz w:val="20"/>
        </w:rPr>
        <w:t xml:space="preserve">Constructive dividends on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 U.S. holder of a pre-funded warrant may, in some circumstances, be deemed to have received a distribution subject to U.S. federal income tax as a result of an adjustment or the non-occurrence of an adjustment to the exercise price or number of shares of our common stock issuable upon exercise of the pre-funded warrant. U.S. holders should consult their tax advisors regarding the proper treatment of any adjustments (or the non-occurrence of any adjustments) to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Sale or other disposition of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For U.S. federal income tax purposes, gain or loss realized on the sale or other taxable disposition of our common stock or pre-funded warrants will generally be capital gain or loss, and will be long-term capital gain or loss if the U.S. holder has held the common stock or pre-funded warrants for more than one year. The amount of the gain or loss will equal the difference between (i) the amount of cash and the fair market value of any property received on the disposition and (ii) such U.S. holder’s tax basis in the common stock or pre-funded warrants disposed of. Long-term capital gains recognized by non-corporate U.S. holders generally will be subject to reduced U.S. federal income tax rates. The deductibility of capital losses is subject to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generally will apply to distributions (including deemed distributions) on our common stock or pre-funded warrants, and gross proceeds on the sale or other disposition of our common stock and pre-funded warrants, unless the U.S. holder is an exempt recipient (such as certain corporations). Backup withholding (currently at a 24% rate) will apply to those payments if the U.S. holder is not otherwise exempt and fails to provide its correct taxpayer identification number or certification of exempt status on an IRS Form W-9 (Request for Taxpayer Identification Number and Certification), or if the U.S. holder is notified by the IRS that it has failed to report in full payments of interest and dividend income. Backup withholding is not an additional tax. Any amounts withheld under the backup withholding rules will be allowed as a refund or a credit against a U.S. holder’s U.S. federal income tax liability provided the required information is furnished timely to the IRS. </w:t>
      </w:r>
    </w:p>
    <w:p>
      <w:pPr>
        <w:pStyle w:val="TextBody"/>
        <w:bidi w:val="0"/>
        <w:spacing w:before="240" w:after="0"/>
        <w:jc w:val="left"/>
        <w:rPr>
          <w:rFonts w:ascii="Times New Roman" w:hAnsi="Times New Roman"/>
          <w:sz w:val="20"/>
        </w:rPr>
      </w:pPr>
      <w:r>
        <w:rPr>
          <w:rFonts w:ascii="Times New Roman" w:hAnsi="Times New Roman"/>
          <w:sz w:val="20"/>
        </w:rPr>
        <w:t xml:space="preserve">If backup withholding is applied to you, you should consult with your own tax advisor to determine whether you have overpaid your U.S. federal income tax, and whether you are able to obtain a tax refund or credit of the overpaid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to non-U.S. holders </w:t>
      </w:r>
    </w:p>
    <w:p>
      <w:pPr>
        <w:pStyle w:val="TextBody"/>
        <w:bidi w:val="0"/>
        <w:spacing w:before="120" w:after="0"/>
        <w:jc w:val="left"/>
        <w:rPr>
          <w:rFonts w:ascii="Times New Roman" w:hAnsi="Times New Roman"/>
          <w:b/>
          <w:sz w:val="20"/>
        </w:rPr>
      </w:pPr>
      <w:r>
        <w:rPr>
          <w:rFonts w:ascii="Times New Roman" w:hAnsi="Times New Roman"/>
          <w:b/>
          <w:sz w:val="20"/>
        </w:rPr>
        <w:t xml:space="preserve">Distributions on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under “—Tax consequences to U.S. holders—Distributions on our common stock or pre-funded warrants,” we have never declared or paid cash dividends on our capital stock, and we do not currently intend to pay any cash dividends on our capital stock in the foreseeable future. However, if we make cash or other property distributions on our common stock or pre-funded warrants, such distributions will constitute dividends for U.S. federal income tax purposes to the extent paid from our current or accumulated earnings and profits, as determined under U.S. federal income tax principles. </w:t>
      </w:r>
    </w:p>
    <w:p>
      <w:pPr>
        <w:pStyle w:val="TextBody"/>
        <w:bidi w:val="0"/>
        <w:spacing w:before="240" w:after="0"/>
        <w:jc w:val="left"/>
        <w:rPr>
          <w:rFonts w:ascii="Times New Roman" w:hAnsi="Times New Roman"/>
          <w:sz w:val="20"/>
        </w:rPr>
      </w:pPr>
      <w:r>
        <w:rPr>
          <w:rFonts w:ascii="Times New Roman" w:hAnsi="Times New Roman"/>
          <w:sz w:val="20"/>
        </w:rPr>
        <w:t xml:space="preserve">Amounts not treated as dividends for U.S. federal income tax purposes will constitute a return of capital and first be applied against and reduce a non-U.S. holder’s adjusted tax basis in our common stock or pre-funded warrants, but not below zero. Any excess will be treated as capital gain and will be treated as described below under “—Gain on disposition of our common stock or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discussions below regarding effectively connected income, backup withholding, and Sections 1471 through 1474 of the Code (FATCA), dividends paid to a non-U.S. holder of our common stock or pre-funded warrants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with a valid IRS Form W-8BEN or IRS Form W-8BEN-E, as applicable (or other appropriate form, or applicable successor form), certifying such holder’s qualification for the reduced rate. This certification must be provided to us or the applicable withholding agent before the payment of dividends and may need to be updated periodically. In the case of a non-U.S. holder that is an entity, Treasury Regulations and the relevant tax treaty provide rules to determine whether, for purposes of determining the applicability of the tax treaty, dividends will be treated as paid to the entity or to those holding an interest in the entity. If the non-U.S. holder holds the common stock or pre-funded warrants through a financial institution or other agent acting on the non-U.S. holder’s behalf, the non-U.S. holder will be required to provide appropriate documentation to the agent, which then will be required to provide certification to us or the applicable withholding agent, either directly or through other intermediaries. Non-U.S. holders that do not provide the required certification on a timely basis, but that qualify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holds our common stock or pre-funded warrants in connection with the conduct of a trade or business in the United States, and dividends paid on our common stock or pre-funded warrants are effectively connected with such holder’s U.S. trade or business (and, if required by an applicable tax treaty, are attributable to such holder’s permanent establishment or fixed base in the United States), the non-U.S. holder will generally be exempt from U.S. federal withholding tax. To claim the exemption, the non-U.S. holder must generally furnish a valid IRS Form W-8ECI (or applicable successor form) to the applicable withholding agent. This certification must be provided to us or the applicable withholding agent before the payment of dividends and may need to be updated periodically. </w:t>
      </w:r>
    </w:p>
    <w:p>
      <w:pPr>
        <w:pStyle w:val="TextBody"/>
        <w:bidi w:val="0"/>
        <w:spacing w:before="240" w:after="0"/>
        <w:jc w:val="left"/>
        <w:rPr>
          <w:rFonts w:ascii="Times New Roman" w:hAnsi="Times New Roman"/>
          <w:sz w:val="20"/>
        </w:rPr>
      </w:pPr>
      <w:r>
        <w:rPr>
          <w:rFonts w:ascii="Times New Roman" w:hAnsi="Times New Roman"/>
          <w:sz w:val="20"/>
        </w:rPr>
        <w:t xml:space="preserve">Although not subject to withholding tax, any such effectively connected dividends paid on our common stock or pre-funded warrants generally will be subject to U.S. federal income tax as if such holder were a resident of the United States at the regular U.S. federal income tax rates applicable to United States residents.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Constructive dividends on pre-funded warrants </w:t>
      </w:r>
    </w:p>
    <w:p>
      <w:pPr>
        <w:pStyle w:val="TextBody"/>
        <w:bidi w:val="0"/>
        <w:spacing w:before="120" w:after="0"/>
        <w:jc w:val="left"/>
        <w:rPr>
          <w:rFonts w:ascii="Times New Roman" w:hAnsi="Times New Roman"/>
          <w:sz w:val="20"/>
        </w:rPr>
      </w:pPr>
      <w:r>
        <w:rPr>
          <w:rFonts w:ascii="Times New Roman" w:hAnsi="Times New Roman"/>
          <w:sz w:val="20"/>
        </w:rPr>
        <w:t>A non-U.S. holder of pre-funded warrants may, in some circumstances, be deemed to have received a distribution subject to U.S. federal income tax as a result of an adjustment or the non-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occurrence of an adjustment to the exercise price or number of shares of our common stock issuable upon exercise of the pre-funded warrant. Any resulting withholding tax attributable to deemed dividends may be collected from other amounts payable or distributable to the non-U.S. holder. Non-U.S. holders should consult their tax advisors regarding the proper treatment of any adjustments (or the non-occurrence of any adjustments) to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our common stock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regarding backup withholding and FATCA, a non-U.S. holder generally will not be subject to U.S. federal income tax on any gain realized on the sale or other taxable disposition of our common stock or pre-funded warrants,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or pre-funded warrants constitute a “United States real property interest” (USRPI) by reason of our status as a United States real property holding corporation (USRPHC) for U.S. federal income tax purposes at any time within the shorter of the five-year period preceding the disposition or the non-U.S. holder’s holding period for our common stock or pre-funded warrants, and our common stock is not regularly traded on an established securities market as defined by applicable Treasury Regulations (although holders of pre-funded warrants are urged to consult their own tax advisors regarding application of the “regularly traded” exception from USRPI status if we are a USRPHC).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Determining whether we are a USRPHC depends on the fair market value of our USRPIs relative to the fair market value of our other trade or business assets and our foreign real property interests. We do not believe that we are, or have been, and do not anticipate becoming a USRPHC for U.S. federal income tax purposes, although there can be no assurance we will not in the future become a USRPHC. </w:t>
      </w:r>
    </w:p>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as if such holder were a resident of the United States at the regular U.S. federal income tax rates applicable to United States residents.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A non-U.S. holder described in the second bullet point above will be subject to U.S. federal income tax at a flat 30% rate (unless an applicable income tax treaty provides for different treatment) on gain realized upon the sale or other taxable disposition of our common stock or pre-funded warrants, but such gain may be offset by certain U.S.-source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Annual reports are required to be filed with the IRS and provided to each non-U.S. holder indicating the amount of distributions (including deemed distributions) on our common stock or pre-funded warrants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and regardless of whether such distributions constitute dividends.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or pre-funded warrants provided the non-U.S. holder furnishes the required certification for its non-U.S. status, such as by providing a valid IRS Form W-8BEN, IRS Form W-8BEN-E, or IRS Form W-8ECI, as applicable, or certain other requirements are met. Backup withholding may apply if the payor has actual knowledge, or reason to know, that the holder is a U.S. person who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If any amount is withheld under the backup withholding rules, the non-U.S. holder should consult with a U.S. tax advisor regarding the possibility of and procedure for obtaining a refund or a credit against the non-U.S. holder’s U.S. federal income tax liability, if any.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on foreign entities </w:t>
      </w:r>
    </w:p>
    <w:p>
      <w:pPr>
        <w:pStyle w:val="TextBody"/>
        <w:bidi w:val="0"/>
        <w:spacing w:before="120" w:after="0"/>
        <w:jc w:val="left"/>
        <w:rPr>
          <w:rFonts w:ascii="Times New Roman" w:hAnsi="Times New Roman"/>
          <w:sz w:val="20"/>
        </w:rPr>
      </w:pPr>
      <w:r>
        <w:rPr>
          <w:rFonts w:ascii="Times New Roman" w:hAnsi="Times New Roman"/>
          <w:sz w:val="20"/>
        </w:rPr>
        <w:t xml:space="preserve">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to dividends (including deemed dividends) paid on our common stock or pre-funded warrants and, subject to the proposed Treasury Regulations described below, also applies to gross proceeds from sales or other dispositions of our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or pre-funded warrants. The U.S. Treasury Department has released proposed Treasury Regulations which, if finalized in their present form, would eliminate the federal withholding tax of 30% applicable to the gross proceeds of a disposition of our common stock or pre-funded warrants. In its preamble to such proposed Treasury Regulations, the U.S. Treasury Department stated that taxpayers (including applicable withholding agents) may generally rely on the proposed Treasury Regulations until final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encouraged to consult with their own tax advisors regarding the possible implications of FATCA on their investment in our common stock or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11" w:name="supp108271_8"/>
      <w:bookmarkEnd w:id="11"/>
      <w:r>
        <w:rPr>
          <w:rFonts w:ascii="Times New Roman" w:hAnsi="Times New Roman"/>
          <w:b/>
          <w:sz w:val="20"/>
        </w:rPr>
        <w:t xml:space="preserve">Underwriting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the shares of common stock and pre-funded warrants described in this prospectus through a number of underwriters. J.P. Morgan Securities LLC, Piper Sandler &amp; Co., Wells Fargo Securities, LLC, and Leerink Partners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and pre-funded warrants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1200"/>
        <w:gridCol w:w="133"/>
        <w:gridCol w:w="108"/>
        <w:gridCol w:w="1772"/>
        <w:gridCol w:w="60"/>
        <w:gridCol w:w="133"/>
        <w:gridCol w:w="200"/>
        <w:gridCol w:w="3270"/>
        <w:gridCol w:w="63"/>
      </w:tblGrid>
      <w:tr>
        <w:trPr/>
        <w:tc>
          <w:tcPr>
            <w:tcW w:w="120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7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33"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Pre-Funded Warrants</w:t>
            </w:r>
          </w:p>
        </w:tc>
        <w:tc>
          <w:tcPr>
            <w:tcW w:w="63" w:type="dxa"/>
            <w:tcBorders/>
            <w:vAlign w:val="bottom"/>
          </w:tcPr>
          <w:p>
            <w:pPr>
              <w:pStyle w:val="TableContents"/>
              <w:bidi w:val="0"/>
              <w:spacing w:before="0" w:after="283"/>
              <w:jc w:val="left"/>
              <w:rPr/>
            </w:pPr>
            <w:r>
              <w:rPr/>
              <w:t> </w:t>
            </w:r>
          </w:p>
        </w:tc>
      </w:tr>
      <w:tr>
        <w:trPr/>
        <w:tc>
          <w:tcPr>
            <w:tcW w:w="1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33"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2,984,348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3270" w:type="dxa"/>
            <w:tcBorders/>
            <w:shd w:fill="CCEEFF" w:val="clear"/>
            <w:vAlign w:val="bottom"/>
          </w:tcPr>
          <w:p>
            <w:pPr>
              <w:pStyle w:val="TableContents"/>
              <w:bidi w:val="0"/>
              <w:spacing w:before="0" w:after="283"/>
              <w:jc w:val="right"/>
              <w:rPr/>
            </w:pPr>
            <w:r>
              <w:rPr/>
              <w:t>406,959</w:t>
            </w:r>
          </w:p>
        </w:tc>
        <w:tc>
          <w:tcPr>
            <w:tcW w:w="63" w:type="dxa"/>
            <w:tcBorders/>
            <w:shd w:fill="CCEEFF" w:val="clear"/>
            <w:vAlign w:val="bottom"/>
          </w:tcPr>
          <w:p>
            <w:pPr>
              <w:pStyle w:val="TableContents"/>
              <w:bidi w:val="0"/>
              <w:spacing w:before="0" w:after="283"/>
              <w:jc w:val="left"/>
              <w:rPr/>
            </w:pPr>
            <w:r>
              <w:rPr/>
              <w:t> </w:t>
            </w:r>
          </w:p>
        </w:tc>
      </w:tr>
      <w:tr>
        <w:trPr/>
        <w:tc>
          <w:tcPr>
            <w:tcW w:w="1200" w:type="dxa"/>
            <w:tcBorders/>
          </w:tcPr>
          <w:p>
            <w:pPr>
              <w:pStyle w:val="TableContents"/>
              <w:bidi w:val="0"/>
              <w:spacing w:before="0" w:after="0"/>
              <w:jc w:val="left"/>
              <w:rPr>
                <w:rFonts w:ascii="Times New Roman" w:hAnsi="Times New Roman"/>
                <w:sz w:val="20"/>
              </w:rPr>
            </w:pPr>
            <w:r>
              <w:rPr>
                <w:rFonts w:ascii="Times New Roman" w:hAnsi="Times New Roman"/>
                <w:sz w:val="20"/>
              </w:rPr>
              <w:t>Piper Sandler &amp; Co.</w:t>
            </w:r>
          </w:p>
        </w:tc>
        <w:tc>
          <w:tcPr>
            <w:tcW w:w="133"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1,989,566</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3270" w:type="dxa"/>
            <w:tcBorders/>
            <w:vAlign w:val="bottom"/>
          </w:tcPr>
          <w:p>
            <w:pPr>
              <w:pStyle w:val="TableContents"/>
              <w:bidi w:val="0"/>
              <w:spacing w:before="0" w:after="283"/>
              <w:jc w:val="right"/>
              <w:rPr/>
            </w:pPr>
            <w:r>
              <w:rPr/>
              <w:t>271,306</w:t>
            </w:r>
          </w:p>
        </w:tc>
        <w:tc>
          <w:tcPr>
            <w:tcW w:w="63" w:type="dxa"/>
            <w:tcBorders/>
            <w:vAlign w:val="bottom"/>
          </w:tcPr>
          <w:p>
            <w:pPr>
              <w:pStyle w:val="TableContents"/>
              <w:bidi w:val="0"/>
              <w:spacing w:before="0" w:after="283"/>
              <w:jc w:val="left"/>
              <w:rPr/>
            </w:pPr>
            <w:r>
              <w:rPr/>
              <w:t> </w:t>
            </w:r>
          </w:p>
        </w:tc>
      </w:tr>
      <w:tr>
        <w:trPr/>
        <w:tc>
          <w:tcPr>
            <w:tcW w:w="1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133"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1,530,435</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3270" w:type="dxa"/>
            <w:tcBorders/>
            <w:shd w:fill="CCEEFF" w:val="clear"/>
            <w:vAlign w:val="bottom"/>
          </w:tcPr>
          <w:p>
            <w:pPr>
              <w:pStyle w:val="TableContents"/>
              <w:bidi w:val="0"/>
              <w:spacing w:before="0" w:after="283"/>
              <w:jc w:val="right"/>
              <w:rPr/>
            </w:pPr>
            <w:r>
              <w:rPr/>
              <w:t>208,697</w:t>
            </w:r>
          </w:p>
        </w:tc>
        <w:tc>
          <w:tcPr>
            <w:tcW w:w="63" w:type="dxa"/>
            <w:tcBorders/>
            <w:shd w:fill="CCEEFF" w:val="clear"/>
            <w:vAlign w:val="bottom"/>
          </w:tcPr>
          <w:p>
            <w:pPr>
              <w:pStyle w:val="TableContents"/>
              <w:bidi w:val="0"/>
              <w:spacing w:before="0" w:after="283"/>
              <w:jc w:val="left"/>
              <w:rPr/>
            </w:pPr>
            <w:r>
              <w:rPr/>
              <w:t> </w:t>
            </w:r>
          </w:p>
        </w:tc>
      </w:tr>
      <w:tr>
        <w:trPr/>
        <w:tc>
          <w:tcPr>
            <w:tcW w:w="1200"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133"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1,147,826</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3270" w:type="dxa"/>
            <w:tcBorders/>
            <w:vAlign w:val="bottom"/>
          </w:tcPr>
          <w:p>
            <w:pPr>
              <w:pStyle w:val="TableContents"/>
              <w:bidi w:val="0"/>
              <w:spacing w:before="0" w:after="283"/>
              <w:jc w:val="right"/>
              <w:rPr/>
            </w:pPr>
            <w:r>
              <w:rPr/>
              <w:t>156,522</w:t>
            </w:r>
          </w:p>
        </w:tc>
        <w:tc>
          <w:tcPr>
            <w:tcW w:w="63" w:type="dxa"/>
            <w:tcBorders/>
            <w:vAlign w:val="bottom"/>
          </w:tcPr>
          <w:p>
            <w:pPr>
              <w:pStyle w:val="TableContents"/>
              <w:bidi w:val="0"/>
              <w:spacing w:before="0" w:after="283"/>
              <w:jc w:val="left"/>
              <w:rPr/>
            </w:pPr>
            <w:r>
              <w:rPr/>
              <w:t> </w:t>
            </w:r>
          </w:p>
        </w:tc>
      </w:tr>
      <w:tr>
        <w:trPr/>
        <w:tc>
          <w:tcPr>
            <w:tcW w:w="1200"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7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327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1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33"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7,652,175</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3270" w:type="dxa"/>
            <w:tcBorders/>
            <w:shd w:fill="CCEEFF" w:val="clear"/>
            <w:vAlign w:val="bottom"/>
          </w:tcPr>
          <w:p>
            <w:pPr>
              <w:pStyle w:val="TableContents"/>
              <w:bidi w:val="0"/>
              <w:spacing w:before="0" w:after="283"/>
              <w:jc w:val="right"/>
              <w:rPr/>
            </w:pPr>
            <w:r>
              <w:rPr/>
              <w:t>1,043,484</w:t>
            </w:r>
          </w:p>
        </w:tc>
        <w:tc>
          <w:tcPr>
            <w:tcW w:w="63" w:type="dxa"/>
            <w:tcBorders/>
            <w:shd w:fill="CCEEFF" w:val="clear"/>
            <w:vAlign w:val="bottom"/>
          </w:tcPr>
          <w:p>
            <w:pPr>
              <w:pStyle w:val="TableContents"/>
              <w:bidi w:val="0"/>
              <w:spacing w:before="0" w:after="283"/>
              <w:jc w:val="left"/>
              <w:rPr/>
            </w:pPr>
            <w:r>
              <w:rPr/>
              <w:t> </w:t>
            </w:r>
          </w:p>
        </w:tc>
      </w:tr>
      <w:tr>
        <w:trPr/>
        <w:tc>
          <w:tcPr>
            <w:tcW w:w="1200"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7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327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purchase all the common shares and pre-funded warrants offered by us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common shares and pre-funded warrants directly to the public at the initial public offering price set forth on the cover page of this prospectus and to certain dealers at that price less a concession not in excess of $0.6210 per share. After the initial offering of the shares to the public, if all of the common shares are not sold at the initial public offering price, the underwriters may change the offering price and the other selling terms. Sales of any shares made outside of the United States may be made by affiliates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1,304,348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fee is equal to the public offering price per share of common stock or pre-funded warrant less the amount paid by the underwriters to us per share of common stock or pre-funded warrant. The underwriting fee is $1.035 per share or pre-funded warrant. The following table shows the per share and total underwriting discounts and commissions to be paid to the underwriters assuming both no exercise and full exercise of the underwriters’ option to purchase additional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tbl>
      <w:tblPr>
        <w:tblW w:w="3800" w:type="pct"/>
        <w:jc w:val="center"/>
        <w:tblInd w:w="0" w:type="dxa"/>
        <w:tblLayout w:type="fixed"/>
        <w:tblCellMar>
          <w:top w:w="0" w:type="dxa"/>
          <w:left w:w="0" w:type="dxa"/>
          <w:bottom w:w="0" w:type="dxa"/>
          <w:right w:w="0" w:type="dxa"/>
        </w:tblCellMar>
      </w:tblPr>
      <w:tblGrid>
        <w:gridCol w:w="3978"/>
        <w:gridCol w:w="280"/>
        <w:gridCol w:w="141"/>
        <w:gridCol w:w="1290"/>
        <w:gridCol w:w="60"/>
        <w:gridCol w:w="280"/>
        <w:gridCol w:w="141"/>
        <w:gridCol w:w="1520"/>
        <w:gridCol w:w="65"/>
      </w:tblGrid>
      <w:tr>
        <w:trPr/>
        <w:tc>
          <w:tcPr>
            <w:tcW w:w="3978"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78"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br/>
              <w:t>exercise</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6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 full</w:t>
              <w:br/>
              <w:t>option to</w:t>
              <w:br/>
              <w:t>purchase</w:t>
              <w:br/>
              <w:t>additional shares</w:t>
              <w:br/>
              <w:t>exercise</w:t>
            </w:r>
          </w:p>
        </w:tc>
        <w:tc>
          <w:tcPr>
            <w:tcW w:w="65" w:type="dxa"/>
            <w:tcBorders/>
            <w:vAlign w:val="bottom"/>
          </w:tcPr>
          <w:p>
            <w:pPr>
              <w:pStyle w:val="TableContents"/>
              <w:bidi w:val="0"/>
              <w:spacing w:before="0" w:after="283"/>
              <w:jc w:val="left"/>
              <w:rPr/>
            </w:pPr>
            <w:r>
              <w:rPr/>
              <w:t> </w:t>
            </w:r>
          </w:p>
        </w:tc>
      </w:tr>
      <w:tr>
        <w:trPr/>
        <w:tc>
          <w:tcPr>
            <w:tcW w:w="39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28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1.035</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1.035</w:t>
            </w:r>
          </w:p>
        </w:tc>
        <w:tc>
          <w:tcPr>
            <w:tcW w:w="65" w:type="dxa"/>
            <w:tcBorders/>
            <w:shd w:fill="CCEEFF" w:val="clear"/>
            <w:vAlign w:val="bottom"/>
          </w:tcPr>
          <w:p>
            <w:pPr>
              <w:pStyle w:val="TableContents"/>
              <w:bidi w:val="0"/>
              <w:spacing w:before="0" w:after="283"/>
              <w:jc w:val="left"/>
              <w:rPr/>
            </w:pPr>
            <w:r>
              <w:rPr/>
              <w:t> </w:t>
            </w:r>
          </w:p>
        </w:tc>
      </w:tr>
      <w:tr>
        <w:trPr/>
        <w:tc>
          <w:tcPr>
            <w:tcW w:w="3978" w:type="dxa"/>
            <w:tcBorders/>
          </w:tcPr>
          <w:p>
            <w:pPr>
              <w:pStyle w:val="TableContents"/>
              <w:bidi w:val="0"/>
              <w:spacing w:before="0" w:after="0"/>
              <w:jc w:val="left"/>
              <w:rPr>
                <w:rFonts w:ascii="Times New Roman" w:hAnsi="Times New Roman"/>
                <w:sz w:val="20"/>
              </w:rPr>
            </w:pPr>
            <w:r>
              <w:rPr>
                <w:rFonts w:ascii="Times New Roman" w:hAnsi="Times New Roman"/>
                <w:sz w:val="20"/>
              </w:rPr>
              <w:t>Per pre-funded warrant</w:t>
            </w:r>
          </w:p>
        </w:tc>
        <w:tc>
          <w:tcPr>
            <w:tcW w:w="28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90" w:type="dxa"/>
            <w:tcBorders/>
            <w:vAlign w:val="bottom"/>
          </w:tcPr>
          <w:p>
            <w:pPr>
              <w:pStyle w:val="TableContents"/>
              <w:bidi w:val="0"/>
              <w:spacing w:before="0" w:after="283"/>
              <w:jc w:val="right"/>
              <w:rPr/>
            </w:pPr>
            <w:r>
              <w:rPr/>
              <w:t>1.035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520" w:type="dxa"/>
            <w:tcBorders/>
            <w:vAlign w:val="bottom"/>
          </w:tcPr>
          <w:p>
            <w:pPr>
              <w:pStyle w:val="TableContents"/>
              <w:bidi w:val="0"/>
              <w:spacing w:before="0" w:after="283"/>
              <w:jc w:val="right"/>
              <w:rPr/>
            </w:pPr>
            <w:r>
              <w:rPr/>
              <w:t>1.035</w:t>
            </w:r>
          </w:p>
        </w:tc>
        <w:tc>
          <w:tcPr>
            <w:tcW w:w="65" w:type="dxa"/>
            <w:tcBorders/>
            <w:vAlign w:val="bottom"/>
          </w:tcPr>
          <w:p>
            <w:pPr>
              <w:pStyle w:val="TableContents"/>
              <w:bidi w:val="0"/>
              <w:spacing w:before="0" w:after="283"/>
              <w:jc w:val="left"/>
              <w:rPr/>
            </w:pPr>
            <w:r>
              <w:rPr/>
              <w:t> </w:t>
            </w:r>
          </w:p>
        </w:tc>
      </w:tr>
      <w:tr>
        <w:trPr/>
        <w:tc>
          <w:tcPr>
            <w:tcW w:w="39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9,000,007.07</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10,350,007.25</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$0.9 million. We have also agreed to reimburse the underwriters for certain of their expenses incurred in connection with this offering in an amount up to $30,000. </w:t>
      </w:r>
    </w:p>
    <w:p>
      <w:pPr>
        <w:pStyle w:val="TextBody"/>
        <w:bidi w:val="0"/>
        <w:spacing w:before="240" w:after="0"/>
        <w:jc w:val="left"/>
        <w:rPr>
          <w:rFonts w:ascii="Times New Roman" w:hAnsi="Times New Roman"/>
          <w:sz w:val="20"/>
        </w:rPr>
      </w:pPr>
      <w:r>
        <w:rPr>
          <w:rFonts w:ascii="Times New Roman" w:hAnsi="Times New Roman"/>
          <w:sz w:val="20"/>
        </w:rPr>
        <w:t xml:space="preserve">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we will not (i) offer, pledge,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hedging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Piper Sandler &amp; Co. for a period of 60 days after the date of this prospectus, other than the shares of our securities to be sold in this offering or the shares of common stock issuable upon exercise of the pre-funded warrants to be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(iii) the issuance of up to 5% of the outstanding shares of our common stock, or securities convertible into, exercisable for, or which are otherwise exchangeable for, our common stock, immediately following the closing of this offering, in acquisitions or other similar strategic transactions, provided that such recipients enter into a lock-up agreement with the underwriters; or (iv)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w:t>
      </w:r>
    </w:p>
    <w:p>
      <w:pPr>
        <w:pStyle w:val="TextBody"/>
        <w:bidi w:val="0"/>
        <w:spacing w:before="240" w:after="0"/>
        <w:jc w:val="left"/>
        <w:rPr>
          <w:rFonts w:ascii="Times New Roman" w:hAnsi="Times New Roman"/>
          <w:sz w:val="20"/>
        </w:rPr>
      </w:pPr>
      <w:r>
        <w:rPr>
          <w:rFonts w:ascii="Times New Roman" w:hAnsi="Times New Roman"/>
          <w:sz w:val="20"/>
        </w:rPr>
        <w:t xml:space="preserve">Our directors and executive officers, and certain of our significant stockholders (such persons, the “lock-up parties”) have entered into lock-up agreements with the underwriters prior to the commencement of this offering pursuant to which each lock-up party, with limited exceptions, for a period of 60 days after the date of this prospectus (such period, the “restricted period”), may not (and may not cause any of their direct or indirect affiliates to), without the prior written consent of J.P. Morgan Securities LLC and Piper Sandler &amp; Co.,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a bona fide gift or gifts, including, without limitation, to a charitable organization or educational institution, or for bona fide estate planning purposes, (ii) by will, testamentary document or intestate succession to the legal representative, heir, beneficiary or a member of the immediate family of the lock-up party, (iii) by operation of law, such as pursuant to a qualified domestic order, divorce settlement, divorce decree or separation agreement, (iv) pursuant to an order of a court or regulatory agency having jurisdiction over the lock-up party, (v) to any corporation, partnership, limited liability company or other entity of which the lock-up party or the immediate family of the lock-up party are the legal and beneficial owner of all of the outstanding equity securities or similar interests, (vi) to a nominee or custodian of a person or entity to whom a disposition or transfer would be permissible under clauses (i) through (v) above, (vii) to any immediate family member or any trust, partnership, limited liability company or other entity for the direct or indirect benefit of the lock-up party or one or more immediate family members of the lock-up party, or if the lock-up party is a trust, to a trustor or beneficiary of the trust or to the estate of a beneficiary of such trust, (viii) if the lock-up party is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(including, for the avoidance of doubt, where the lock-up party is a partnership, to its general partner or a successor partnership or fund, or any other funds managed by such partnership), or (B) as part of a distribution to limited partners, limited liability company members, managers, equityholders or stockholders of the lock-up party or holders of similar equity interests in the lock-up party, (ix) to us (A) upon the lock-up party’s death, disability or termination of employment or other service relationship with us, provided that such shares of common stock were issued to the lock-up party pursuant to an agreement or equity award granted pursuant to an employee benefit plan, option, warrant or other right disclosed in the prospectus supplement for this offering, or (B) pursuant to agreements under which we have the option to repurchase shares, (x) as part of a sale of our shares of common stock purchased by the lock-up party in this offering or on the open market following the offering, (xi) to us pursuant to the vesting, settlement or exercise of restricted stock units, restricted stock,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restricted stock, options, warrants or rights, provided that any such shares of common stock received upon such exercise, vesting or settlement shall be subject to the terms of the underwriting agreement, and provided further that any such restricted stock units, restricted stock, options, warrants or rights are held by the lock-up party pursuant to an agreement or equity award granted under a stock incentive plan or other equity award plan, each of which is disclosed in the prospectus for this offering, (xii) pursuant to a bona fide third party tender offer, merger, consolidation or other similar transaction, in one transaction or a series of related transactions, made to all holders of common stock that has been approved by our board of directors, which results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person or group of persons becoming the beneficial owners (as defined in Rules 13d-3 and 13d-5 of the Exchange Act of 50% of our outstanding voting securities (or the surviving entity); provided that in the event that the tender offer, merger, consolidation or other such transaction is not completed, the lock-up securities shall remain subject to the provisions of the immediately preceding paragraph; or (xiii) pursuant to a 10b5-1 trading plan that is existing on the date of the lock-up agreement which has been provided to the underwriters or its legal counsel, provided that, to the extent a public announcement or filing under the Exchange Act, if any, is required by or on behalf of the lock-up party or the Company regarding such transfer during the restricted period, such announcement or filing shall include the date that the trading plan was entered into and a statement that such transfer is in accordance with an established 10b5-1 trading plan, and provided further that the existing 10b5-1 trading plan may not be amended during the restricted period to allow for an increase in the number of lock-up securities that may be sold pursuant to such existing 10b5-1 trading plan; and (b) the establishment by lock-up parties of trading plans under Rule 10b5-1 under the Exchange Act, provided that such plan does not provide for the transfer of lock-up securities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and Piper Sandler &amp; Co., in their sole discretion, may release the securities subject to any of the lock-up agreements with the underwriters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of 1933.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“BBNX”.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this offering certain of the underwriters (and selling group members) may engage in passive market making transactions in our common stock on The Nasdaq Global Market prior to the pricing and completion of this offering. Passive market making consists of displaying bids on The Nasdaq Global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of common stock or pre-funded warrants have been offered or will be offered pursuant to the offering to the public in that Relevant State prior to the publication of a prospectus in relation to the shares of common stock or pre-funded warrants which have been approved by the competent authority in that Relevant State or, where appropriate, approved in another Relevant State and notified to the competent authority in that Relevant State, all in accordance with the Prospectus Regulation, except that shares of common stock or pre-funded warrants may be offered to the public in that Relevant State at any time: </w:t>
      </w:r>
    </w:p>
    <w:p>
      <w:pPr>
        <w:pStyle w:val="TextBody"/>
        <w:bidi w:val="0"/>
        <w:spacing w:before="120" w:after="0"/>
        <w:jc w:val="left"/>
        <w:rPr>
          <w:rFonts w:ascii="Times New Roman" w:hAnsi="Times New Roman"/>
          <w:sz w:val="20"/>
        </w:rPr>
      </w:pPr>
      <w:r>
        <w:rPr>
          <w:rFonts w:ascii="Times New Roman" w:hAnsi="Times New Roman"/>
          <w:sz w:val="20"/>
        </w:rPr>
        <w:t xml:space="preserve">(a) to any qualified investor as defined under Article 2 of the Prospectus Regulation; </w:t>
      </w:r>
    </w:p>
    <w:p>
      <w:pPr>
        <w:pStyle w:val="TextBody"/>
        <w:bidi w:val="0"/>
        <w:spacing w:before="12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Prospectus Regulation), subject to obtaining the prior consent of representative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(c) in any other circumstances falling within Article 1(4) of the Prospectus Regulation, provided that no such offer of shares shall require us or any sales agent to publish a prospectus pursuant to Article 3 of the Prospectus Regulation, supplement a prospectus pursuant to Article 3 of the Prospectus Regulation or publish an Annex IX document pursuant to Article 1(4)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of common stock or pre-funded warrants in any Relevant State means the communication in any form and by any means of sufficient information on the terms of the offer and any shares of common stock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of common stock or pre-funded warrants have been offered or will be offered pursuant to the offering to the public in the United Kingdom except that shares of common stock or pre-funded warrants may be offered to the public in the United Kingdom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where the offer is conditional on the admission of shares of common stock to trading on the London Stock Exchange plc’s main market (in reliance on the exception in paragraph 6(a) of Schedule 1 of the POATR); </w:t>
      </w:r>
    </w:p>
    <w:p>
      <w:pPr>
        <w:pStyle w:val="TextBody"/>
        <w:bidi w:val="0"/>
        <w:spacing w:before="120" w:after="0"/>
        <w:jc w:val="left"/>
        <w:rPr>
          <w:rFonts w:ascii="Times New Roman" w:hAnsi="Times New Roman"/>
          <w:sz w:val="20"/>
        </w:rPr>
      </w:pPr>
      <w:r>
        <w:rPr>
          <w:rFonts w:ascii="Times New Roman" w:hAnsi="Times New Roman"/>
          <w:sz w:val="20"/>
        </w:rPr>
        <w:t xml:space="preserve">(b) to any qualified investor as defined under paragraph 15 of Schedule 1 of the POATR; </w:t>
      </w:r>
    </w:p>
    <w:p>
      <w:pPr>
        <w:pStyle w:val="TextBody"/>
        <w:bidi w:val="0"/>
        <w:spacing w:before="120" w:after="0"/>
        <w:jc w:val="left"/>
        <w:rPr>
          <w:rFonts w:ascii="Times New Roman" w:hAnsi="Times New Roman"/>
          <w:sz w:val="20"/>
        </w:rPr>
      </w:pPr>
      <w:r>
        <w:rPr>
          <w:rFonts w:ascii="Times New Roman" w:hAnsi="Times New Roman"/>
          <w:sz w:val="20"/>
        </w:rPr>
        <w:t xml:space="preserve">(c) to fewer than 150 persons (other than qualified investors as defined under paragraph 15 of Schedule 1 of the POATR), subject to obtaining the prior consent of the representative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(d) in any other circumstances falling within Part 1 of Schedule 1 of the POATR.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of common stock or pre-funded warrants in the United Kingdom means the communication to any person which presents sufficient information on: (a) the shares of common stock or pre-funded warrants to be offered; and (b) the terms on which they are to be offered, to enable an investor to decide to buy or subscribe for the shares or pre-funded warrants and the expressions “POATR” means the Public Offers and Admissions to Trading Regulations 2024.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Our shares of common stock or pre-funded warrants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common stock or pre-funded warrants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or pre-funded warrants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no shares of common stock or pre-funded warrants (1) have been or will be offered or sold and no shares of common stock or pre-funded warrants have been or will be made the subject of an invitation for subscription or purchase, and no prospectus or any other document or material in connection with the offer or sale, or invitation for subscription or purchase, of the shares of common stock or pre-funded warrants, has been or will be circulated or distributed,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and pre-funded warrants have not been and will not be registered pursuant to Article 4, Paragraph 1 of the Financial Instruments and Exchange Act. Accordingly, none of the shares of common stock or pre-funded warrants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an offer to the public or a solicitation to purchase or invest in any shares of common stock or pre-funded warrants. No shares of common stock or pre-funded warrants have been offered or will be offered to the public in Switzerland, except that offers of shares of common stock or pre-funded warrants may be made to the public in Switzerland at any time under the following exemptions under the Swiss Financial Services Act (“FinSA”): </w:t>
      </w:r>
    </w:p>
    <w:p>
      <w:pPr>
        <w:pStyle w:val="TextBody"/>
        <w:bidi w:val="0"/>
        <w:spacing w:before="120" w:after="0"/>
        <w:jc w:val="left"/>
        <w:rPr>
          <w:rFonts w:ascii="Times New Roman" w:hAnsi="Times New Roman"/>
          <w:sz w:val="20"/>
        </w:rPr>
      </w:pPr>
      <w:r>
        <w:rPr>
          <w:rFonts w:ascii="Times New Roman" w:hAnsi="Times New Roman"/>
          <w:sz w:val="20"/>
        </w:rPr>
        <w:t xml:space="preserve">(a) to any person which is a professional client as defined under the FinSA; </w:t>
      </w:r>
    </w:p>
    <w:p>
      <w:pPr>
        <w:pStyle w:val="TextBody"/>
        <w:bidi w:val="0"/>
        <w:spacing w:before="120" w:after="0"/>
        <w:jc w:val="left"/>
        <w:rPr>
          <w:rFonts w:ascii="Times New Roman" w:hAnsi="Times New Roman"/>
          <w:sz w:val="20"/>
        </w:rPr>
      </w:pPr>
      <w:r>
        <w:rPr>
          <w:rFonts w:ascii="Times New Roman" w:hAnsi="Times New Roman"/>
          <w:sz w:val="20"/>
        </w:rPr>
        <w:t xml:space="preserve">(b) to fewer than 500 persons (other than professional clients as defined under the FinSA), subject to obtaining the prior consent of joint global coordinators/lead manager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(c) in any other circumstances falling within Article 36 FinSA in connection with Article 44 of the Swiss Financial Services Ordinance, provided that no such offer of shares of common stock or pre-funded warrants shall require us or any investment bank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and pre-funded warrants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of common stock or pre-funded warrants constitutes a prospectus as such term is understood pursuant to the FinSA and neither this document nor any other offering or marketing material relating to the shares of common stock or pre-funded warrants may be publicly distributed or otherwise made publicly available in Switzerland.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or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or pre-funded warrants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sales agents are not required to comply with the disclosure requirements of NI 33-105 regarding sales agents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(the “ASIC”)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Any offer in Australia of our common stock or pre-funded warrants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common stock without disclosure to investors under Chapter 6D of the Corporations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shares of common stock or pre-funded warrants applied for by Exempt Investors in Australia must not be offered for sale in Australia in the period of twelve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Brazil </w:t>
      </w:r>
    </w:p>
    <w:p>
      <w:pPr>
        <w:pStyle w:val="TextBody"/>
        <w:bidi w:val="0"/>
        <w:spacing w:before="120" w:after="0"/>
        <w:jc w:val="left"/>
        <w:rPr>
          <w:rFonts w:ascii="Times New Roman" w:hAnsi="Times New Roman"/>
          <w:sz w:val="20"/>
        </w:rPr>
      </w:pPr>
      <w:r>
        <w:rPr>
          <w:rFonts w:ascii="Times New Roman" w:hAnsi="Times New Roman"/>
          <w:sz w:val="20"/>
        </w:rPr>
        <w:t xml:space="preserve">The offer and sale of the shares of common stock or pre-funded warrants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People’s Republic of China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will not be circulated or distributed in the PRC and the shares of common stock or pre-funded warrants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or pre-funded warrants offered by this document have not been approved or disapproved by the Israel Securities Authority (the “ISA”), nor have such securities been registered for sale in Israel. The securities may not be offered or sold, directly or indirectly, to the public in Israel, absent the publication of a prospectus that has been approved by the ISA. The ISA has not issued permits, approvals or licenses in connection with this offering or publishing this document, nor has it authenticated the details included herein, confirmed their reliability or completeness, or rendered an opinion as to the quality of the securities being offered.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document does not constitute a prospectus under the Israeli Securities Law, 5728-1968 (the “Israeli Securities Law”), and has not been filed with or approved by the ISA. In Israel, this prospectus supplement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sales agents,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12" w:name="supp108271_9"/>
      <w:bookmarkEnd w:id="12"/>
      <w:r>
        <w:rPr>
          <w:rFonts w:ascii="Times New Roman" w:hAnsi="Times New Roman"/>
          <w:b/>
          <w:sz w:val="20"/>
        </w:rPr>
        <w:t xml:space="preserve">Legal matters </w:t>
      </w:r>
    </w:p>
    <w:p>
      <w:pPr>
        <w:pStyle w:val="TextBody"/>
        <w:bidi w:val="0"/>
        <w:spacing w:before="120" w:after="0"/>
        <w:jc w:val="left"/>
        <w:rPr>
          <w:rFonts w:ascii="Times New Roman" w:hAnsi="Times New Roman"/>
          <w:sz w:val="20"/>
        </w:rPr>
      </w:pPr>
      <w:r>
        <w:rPr>
          <w:rFonts w:ascii="Times New Roman" w:hAnsi="Times New Roman"/>
          <w:sz w:val="20"/>
        </w:rPr>
        <w:t xml:space="preserve">Cooley LLP will pass upon the validity of the securities being offered by this prospectus supplement. The underwriters are being represented by Latham &amp; Watkins LLP. </w:t>
      </w:r>
    </w:p>
    <w:p>
      <w:pPr>
        <w:pStyle w:val="TextBody"/>
        <w:bidi w:val="0"/>
        <w:spacing w:before="360" w:after="0"/>
        <w:jc w:val="left"/>
        <w:rPr>
          <w:rFonts w:ascii="Times New Roman" w:hAnsi="Times New Roman"/>
          <w:b/>
          <w:sz w:val="20"/>
        </w:rPr>
      </w:pPr>
      <w:bookmarkStart w:id="13" w:name="supp108271_10"/>
      <w:bookmarkEnd w:id="13"/>
      <w:r>
        <w:rPr>
          <w:rFonts w:ascii="Times New Roman" w:hAnsi="Times New Roman"/>
          <w:b/>
          <w:sz w:val="20"/>
        </w:rPr>
        <w:t xml:space="preserve">Experts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of Beta Bionics, Inc. as of December 31, 2025 and 2024 and for each of the two years in the period ended December 31, 2025 appearing in Beta Bionics, Inc.’s Annual Report on Form 10-K for the year ended December 31, 2025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 </w:t>
      </w:r>
    </w:p>
    <w:p>
      <w:pPr>
        <w:pStyle w:val="TextBody"/>
        <w:bidi w:val="0"/>
        <w:spacing w:before="360" w:after="0"/>
        <w:jc w:val="left"/>
        <w:rPr>
          <w:rFonts w:ascii="Times New Roman" w:hAnsi="Times New Roman"/>
          <w:b/>
          <w:sz w:val="20"/>
        </w:rPr>
      </w:pPr>
      <w:bookmarkStart w:id="14" w:name="supp108271_11"/>
      <w:bookmarkEnd w:id="14"/>
      <w:r>
        <w:rPr>
          <w:rFonts w:ascii="Times New Roman" w:hAnsi="Times New Roman"/>
          <w:b/>
          <w:sz w:val="20"/>
        </w:rPr>
        <w:t xml:space="preserve">Where you can find more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on Form S-3 we filed with the SEC under the Securities Act and do not contain all the information set forth in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 this prospectus supplement and the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t>
      </w:r>
    </w:p>
    <w:p>
      <w:pPr>
        <w:pStyle w:val="TextBody"/>
        <w:bidi w:val="0"/>
        <w:spacing w:before="360" w:after="0"/>
        <w:jc w:val="left"/>
        <w:rPr>
          <w:rFonts w:ascii="Times New Roman" w:hAnsi="Times New Roman"/>
          <w:b/>
          <w:sz w:val="20"/>
        </w:rPr>
      </w:pPr>
      <w:bookmarkStart w:id="15" w:name="supp108271_12"/>
      <w:bookmarkEnd w:id="15"/>
      <w:r>
        <w:rPr>
          <w:rFonts w:ascii="Times New Roman" w:hAnsi="Times New Roman"/>
          <w:b/>
          <w:sz w:val="20"/>
        </w:rPr>
        <w:t xml:space="preserve">Incorporation of certain information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 allows us to “incorporate by reference” the information we file with it, which means that we can disclose important information to you by referring you to those documents. Information incorporated by reference is part of this prospectus supplement and the accompanying prospectus. Later information filed with the SEC will update and supersede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and any future filings made by us with the SEC under Sections 13(a), 13(c), 14 or 15(d) of the Exchange Act after the date of this prospectus supplement until the termination of the offering of the shares covered by this prospectus supplement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our Annual Report on Form 10-K for the year ended December 31, 2025, filed with the SEC on </w:t>
            </w:r>
            <w:hyperlink r:id="rId3">
              <w:r>
                <w:rPr>
                  <w:rStyle w:val="InternetLink"/>
                  <w:rFonts w:ascii="Times New Roman" w:hAnsi="Times New Roman"/>
                  <w:sz w:val="20"/>
                </w:rPr>
                <w:t>February 24,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Schedule 14A, filed with the SEC on </w:t>
            </w:r>
            <w:hyperlink r:id="rId4">
              <w:r>
                <w:rPr>
                  <w:rStyle w:val="InternetLink"/>
                  <w:rFonts w:ascii="Times New Roman" w:hAnsi="Times New Roman"/>
                  <w:sz w:val="20"/>
                </w:rPr>
                <w:t>April 10,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2026 and June 30, 2026, filed with the SEC on </w:t>
            </w:r>
            <w:hyperlink r:id="rId5">
              <w:r>
                <w:rPr>
                  <w:rStyle w:val="InternetLink"/>
                  <w:rFonts w:ascii="Times New Roman" w:hAnsi="Times New Roman"/>
                  <w:sz w:val="20"/>
                </w:rPr>
                <w:t>April  21, 2026</w:t>
              </w:r>
            </w:hyperlink>
            <w:r>
              <w:rPr>
                <w:rFonts w:ascii="Times New Roman" w:hAnsi="Times New Roman"/>
                <w:sz w:val="20"/>
              </w:rPr>
              <w:t xml:space="preserve"> and </w:t>
            </w:r>
            <w:hyperlink r:id="rId6">
              <w:r>
                <w:rPr>
                  <w:rStyle w:val="InternetLink"/>
                  <w:rFonts w:ascii="Times New Roman" w:hAnsi="Times New Roman"/>
                  <w:sz w:val="20"/>
                </w:rPr>
                <w:t>July 29, 2026</w:t>
              </w:r>
            </w:hyperlink>
            <w:r>
              <w:rPr>
                <w:rFonts w:ascii="Times New Roman" w:hAnsi="Times New Roman"/>
                <w:sz w:val="20"/>
              </w:rPr>
              <w:t xml:space="preserve">,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30, 2026</w:t>
              </w:r>
            </w:hyperlink>
            <w:r>
              <w:rPr>
                <w:rFonts w:ascii="Times New Roman" w:hAnsi="Times New Roman"/>
                <w:sz w:val="20"/>
              </w:rPr>
              <w:t xml:space="preserve">, </w:t>
            </w:r>
            <w:hyperlink r:id="rId8">
              <w:r>
                <w:rPr>
                  <w:rStyle w:val="InternetLink"/>
                  <w:rFonts w:ascii="Times New Roman" w:hAnsi="Times New Roman"/>
                  <w:sz w:val="20"/>
                </w:rPr>
                <w:t>May  21, 2026</w:t>
              </w:r>
            </w:hyperlink>
            <w:r>
              <w:rPr>
                <w:rFonts w:ascii="Times New Roman" w:hAnsi="Times New Roman"/>
                <w:sz w:val="20"/>
              </w:rPr>
              <w:t xml:space="preserve">, </w:t>
            </w:r>
            <w:hyperlink r:id="rId9">
              <w:r>
                <w:rPr>
                  <w:rStyle w:val="InternetLink"/>
                  <w:rFonts w:ascii="Times New Roman" w:hAnsi="Times New Roman"/>
                  <w:sz w:val="20"/>
                </w:rPr>
                <w:t>May  22, 2026</w:t>
              </w:r>
            </w:hyperlink>
            <w:r>
              <w:rPr>
                <w:rFonts w:ascii="Times New Roman" w:hAnsi="Times New Roman"/>
                <w:sz w:val="20"/>
              </w:rPr>
              <w:t xml:space="preserve"> and </w:t>
            </w:r>
            <w:hyperlink r:id="rId10">
              <w:r>
                <w:rPr>
                  <w:rStyle w:val="InternetLink"/>
                  <w:rFonts w:ascii="Times New Roman" w:hAnsi="Times New Roman"/>
                  <w:sz w:val="20"/>
                </w:rPr>
                <w:t>September 15, 2026</w:t>
              </w:r>
            </w:hyperlink>
            <w:r>
              <w:rPr>
                <w:rFonts w:ascii="Times New Roman" w:hAnsi="Times New Roman"/>
                <w:sz w:val="20"/>
              </w:rPr>
              <w:t xml:space="preserve">, each to the extent the information in such reports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the description of our common stock, which is registered under Section  12 of the Exchange Act, described in</w:t>
            </w:r>
            <w:hyperlink r:id="rId11">
              <w:r>
                <w:rPr>
                  <w:rStyle w:val="InternetLink"/>
                  <w:rFonts w:ascii="Times New Roman" w:hAnsi="Times New Roman"/>
                  <w:sz w:val="20"/>
                </w:rPr>
                <w:t> Exhibit 4.3</w:t>
              </w:r>
            </w:hyperlink>
            <w:r>
              <w:rPr>
                <w:rFonts w:ascii="Times New Roman" w:hAnsi="Times New Roman"/>
                <w:sz w:val="20"/>
              </w:rPr>
              <w:t xml:space="preserve"> to our Annual Report on Form 10-K for the year ended December 31, 2024, filed with the SEC on March 25, 2025, including all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(other than exhibits, unless they are specifically incorporated by reference in the documents) at no cost, by contacting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Beta Bionics, Inc. </w:t>
      </w:r>
    </w:p>
    <w:p>
      <w:pPr>
        <w:pStyle w:val="TextBody"/>
        <w:bidi w:val="0"/>
        <w:spacing w:before="0" w:after="0"/>
        <w:jc w:val="center"/>
        <w:rPr>
          <w:rFonts w:ascii="Times New Roman" w:hAnsi="Times New Roman"/>
          <w:sz w:val="20"/>
        </w:rPr>
      </w:pPr>
      <w:r>
        <w:rPr>
          <w:rFonts w:ascii="Times New Roman" w:hAnsi="Times New Roman"/>
          <w:sz w:val="20"/>
        </w:rPr>
        <w:t xml:space="preserve">11 Hughes </w:t>
      </w:r>
    </w:p>
    <w:p>
      <w:pPr>
        <w:pStyle w:val="TextBody"/>
        <w:bidi w:val="0"/>
        <w:spacing w:before="0" w:after="0"/>
        <w:jc w:val="center"/>
        <w:rPr>
          <w:rFonts w:ascii="Times New Roman" w:hAnsi="Times New Roman"/>
          <w:sz w:val="20"/>
        </w:rPr>
      </w:pPr>
      <w:r>
        <w:rPr>
          <w:rFonts w:ascii="Times New Roman" w:hAnsi="Times New Roman"/>
          <w:sz w:val="20"/>
        </w:rPr>
        <w:t xml:space="preserve">Irvine, CA 92618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(949) 427-7785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42030" cy="6470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3542030" cy="6470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and sell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a general description of the securities we may offer. Each time we offer securities pursuant to this prospectus, we will provide the specific terms of these offerings and the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or in the documents that we have incorporated by reference into this prospectus. You should carefully read this prospectus, the applicable prospectus supplement and any related free writing prospectus, as well as any documents incorporated by reference, before you invest in any of the securities being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any securities unless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Nasdaq Global Market under the symbol “BBNX.” On February 23, 2026, the last reported sales price of our common stock was $13.67 per share. The applicable prospectus supplement will contain information, where applicable, as to any other listing on the Nasdaq Global Market or any securities market or other exchange of the securities, if any, covered by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and the applicable prospectus supplement. If any agents, underwriters or dealers are involved in the sale of any securities with respect to which this prospectus is being delivered, the names of such agents, underwriters or dealers and any applicable fees, commissions, discounts and over-allotment options will be set forth in a prospectus supplement. The price to the public of such securities and the net proceeds we expect to receive from such sale will also be set forth in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You should review carefully the risks and uncertainties described under the heading “</w:t>
      </w:r>
      <w:hyperlink w:anchor="toc108271_3">
        <w:r>
          <w:rPr>
            <w:rStyle w:val="InternetLink"/>
            <w:rFonts w:ascii="Times New Roman" w:hAnsi="Times New Roman"/>
            <w:b/>
            <w:sz w:val="24"/>
          </w:rPr>
          <w:t>Risk Factors</w:t>
        </w:r>
      </w:hyperlink>
      <w:r>
        <w:rPr>
          <w:rFonts w:ascii="Times New Roman" w:hAnsi="Times New Roman"/>
          <w:b/>
          <w:sz w:val="24"/>
        </w:rPr>
        <w:t xml:space="preserve">” on page 4 of this prospectus as well as those contained in the applicable prospectus supplement and any related free writing prospectus, and under similar headings in the other documents that are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24,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oc1"/>
      <w:bookmarkEnd w:id="1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2">
              <w:r>
                <w:rPr>
                  <w:rStyle w:val="InternetLink"/>
                  <w:rFonts w:ascii="Times New Roman" w:hAnsi="Times New Roman"/>
                  <w:sz w:val="20"/>
                </w:rPr>
                <w:t>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9">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14">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bookmarkStart w:id="17" w:name="toc108271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an automatic registration statement on Form S-3 that we filed with the Securities and Exchange Commission (“SEC”) utilizing a “shelf” registration process as a “well-known seasoned issuer,” as defined in Rule 405 under the Securities Act of 1933, as amended (the “Securities Act”). Under this shelf registration process, we may offer and sell from time to time in one or more offerings the securities described in this prospectus. No limit exists on the aggregate number or amount of securities we may sell pursuant to the registration statement of which this prospectus is a part.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securities under this prospectus, we will provide a prospectus supplement that will contain specific information about the terms of such securities and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If there is any inconsistency between the information in this prospectus and the applicable prospectus supplement or free writing prospectus, you should rely on the prospectus supplement or free writing prospectus, as applicable.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agent, underwriter or dealer has authorized any person to give any information or to make any representation other than those contained or incorporated by reference into this prospectus, any applicable prospectus supplement or any related free writing prospectus prepared by or on behalf of us or to which we have referred you. We take no responsibility for, and can provide no assurance as to the reliability of, any other information that others may give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18" w:name="toc108271_2"/>
      <w:bookmarkEnd w:id="18"/>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the context requires otherwise, references in this prospectus to the “Company,” “Beta,” “we,” “us” and “our” refer to Beta Bionics, Inc.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commercial-stage medical device company engaged in the design, development, and commercialization of innovative solutions to improve the health and quality of life of insulin-requiring people with diabetes by utilizing advanced adaptive closed-loop algorithms to simplify and improve the treatment of their disease. Our product, the iLet Bionic Pancreas (“iLet”), was cleared by the U.S. Food and Drug Administration for the treatment of Type 1 diabetes in adults and children six years and older and commercially launched in May 2023 in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mission is to simplify and alleviate the burden of managing diabetes with life-changing solutions. Our vision is to make diabetes easier, for everyone, every day. Our goal is to establish the iLet as the standard of care for insulin delivery.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originally incorporated under the laws of the Commonwealth of Massachusetts in October 2015. In August 2024, we reincorporated under the laws of the State of Delaware. Our principal executive offices are located at 11 Hughes, Irvine, California 92618, and our telephone number is (949) 427-7785. Our website is www.betabionics.com. The information contained in, or that can be accessed through, our website is not part of, and is not incorporated by reference into, this prospectus and should not be considered part of this prospectus. We have included our website in this prospectus solely as an inactive textual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contains references to our trademarks and to trademarks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common stock and preferred stock, various series of debt securities and/or warrants to purchase any of such securities, either individually or in combination with other securities,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exchange or sinking fund terms,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prices or rates, if any, and, if applicable, any provisions for changes to or adjustments in the conversion or exchange prices or rates and in the securities or other property receivable upon conversion or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or special U.S. federal income tax considerations, if any.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sell the securities directly to investors, through agents designated from time to time or to or through underwriters or dealers. We, and our underwriters, dealers or agents, reserve the right to accept or reject all or part of any proposed purchase of securities. If we do offer securities through underwriters, dealers or agents, we will include in the applicable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underwriters, dealers or agents;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discounts and commissions to be paid to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net proceeds to us.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Common Stock</w:t>
      </w:r>
      <w:r>
        <w:rPr>
          <w:rFonts w:ascii="Times New Roman" w:hAnsi="Times New Roman"/>
          <w:sz w:val="20"/>
          <w:bdr w:val="single" w:sz="8" w:space="1" w:color="000000"/>
        </w:rPr>
        <w:t xml:space="preserve">. We may issue shares of our common stock from time to time. Holders of our common stock are entitled to one vote per share for the election of directors and on all other matters that require stockholder approval. Subject to any preferential rights of any then outstanding preferred stock, in the event of our liquidation, dissolution or winding up, holders of our common stock are entitled to share ratably in the assets remaining after payment of liabilities and the liquidation preferences of any then outstanding preferred stock. Our common stock does not carry any preemptive rights enabling a holder to subscribe for, or receive shares of, any class of our common stock or any other securities convertible into shares of any class of our common stock, or any redemption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Preferred Stock</w:t>
      </w:r>
      <w:r>
        <w:rPr>
          <w:rFonts w:ascii="Times New Roman" w:hAnsi="Times New Roman"/>
          <w:sz w:val="20"/>
          <w:bdr w:val="single" w:sz="8" w:space="1" w:color="000000"/>
        </w:rPr>
        <w:t xml:space="preserve">. We may issue shares of our preferred stock from time to time, in one or more series. Under our amended and restated certificate of incorporation, our board of directors has the authority, without further action by stockholders, to designate up to 10,000,000 shares of preferred stock in one or more series and to fix the designations, powers, preferences and rights of each such series and any qualifications, limitations or restrictions thereof, including dividend rights, conversion rights, voting rights, rights and terms of redemption, liquidation preference and sinking fund terms, any or all of which may be greater than the rights of the common stock. To date, none of the 10,000,000 authorized shares of preferred stock have been designated by our board of directors. Convertible preferred stock will be convertible into our common stock or exchangeable for our other securities. Conversion may be mandatory or at the option of the holders of our preferred stock and would be at prescribed conversion rates.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fix the designations, powers, preferences, rights, qualifications, limitations and restrictions of the preferred stock of each series that we sell under this prospectus and applicable prospectus supplements in the certificate of designation relating to that series. We will incorporate by reference into the registration statement of which this prospectus is a part the form of any certificate of designation that describes the terms of the series of preferred stock we are offering before the issuance of the related series of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Debt Securities</w:t>
      </w:r>
      <w:r>
        <w:rPr>
          <w:rFonts w:ascii="Times New Roman" w:hAnsi="Times New Roman"/>
          <w:sz w:val="20"/>
          <w:bdr w:val="single" w:sz="8" w:space="1" w:color="000000"/>
        </w:rPr>
        <w:t xml:space="preserve">. 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our common stock or preferred stock. Conversion may be mandatory or at the holder’s option and would be at prescribed conversion rates. The debt securities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Warrants</w:t>
      </w:r>
      <w:r>
        <w:rPr>
          <w:rFonts w:ascii="Times New Roman" w:hAnsi="Times New Roman"/>
          <w:sz w:val="20"/>
          <w:bdr w:val="single" w:sz="8" w:space="1" w:color="000000"/>
        </w:rPr>
        <w:t xml:space="preserve">. 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oc108271_3"/>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similar headings in our most recent Annual Report on Form 10-K and Quarterly Reports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cashflow could be seriously harmed. This could cause the trading price of our securities to decline, resulting in a loss of all or part of your investment. Additional risks not presently known to us or that we currently believe are immaterial may also significantly impair our business operations. Please also carefully read the section below entitled “Special Note Regarding Forward-Looking Statements.” </w:t>
      </w:r>
    </w:p>
    <w:p>
      <w:pPr>
        <w:pStyle w:val="TextBody"/>
        <w:bidi w:val="0"/>
        <w:spacing w:before="480" w:after="0"/>
        <w:jc w:val="center"/>
        <w:rPr>
          <w:rFonts w:ascii="Times New Roman" w:hAnsi="Times New Roman"/>
          <w:b/>
          <w:sz w:val="20"/>
        </w:rPr>
      </w:pPr>
      <w:bookmarkStart w:id="20" w:name="toc108271_4"/>
      <w:bookmarkEnd w:id="20"/>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into this prospectus and each prospectus supplement contain forward-looking statements within the meaning of Section 27A of the Securities Act and Section 21E of the Securities Exchange Act of 1934, as amended (the “Exchange Act”), that involve a number of risks and uncertainties. Although our forward-looking statements reflect the good faith judgment of our management, these statements can only be based on facts and factors currently known by us. Consequently, these forward-looking statements are inherently subject to risks and uncertainties, and actual results and outcomes may differ materially from results and outcomes discussed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be identified by the use of forward-looking words such as “believes,” “expects,” “hopes,” “may,” “will,” “plan,” “goal,” “potential,” “intends,” “estimates,” “could,” “should,” “would,” “continue,” “seeks,” “projects,” or “anticipates,” or other similar words (including their use in the negative), or by discussions of future matters such as the development of new products, technology enhancements, possible collaborations and strategic transactions, financial trends and other statements that are not historical. These statements include but are not limited to statements under the captions “Business,” “Risk Factors” and “Management’s Discussion and Analysis of Financial Condition and Results of Operations” and in other sections incorporated by reference from our Annual Report on Form 10-K and Quarterly Reports on Form 10-Q, as applicable, as well as our other filings with the SEC. You should be aware that the occurrence of any of the events discussed under the heading “Risk Factors” in any applicable prospectus supplement and any documents incorporated by reference herein or therein could substantially harm our business, operating results and financial condition and that if any of these events occurs, it could adversely affect the value of an investment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cautionary statements made in this prospectus are intended to be applicable to all related forward-looking statements wherever they may appear in this prospectus or in any prospectus supplement or any documents incorporated by reference herein or therein. We urge you not to place undue reliance on these forward-looking statements, which speak only as of the date they are made. Except as required by law, we assume no obligation to update our forward-looking statements, even if new information becomes available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oc108271_5"/>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offered hereby. Except as described in any prospectus supplement or any related free writing prospectus that we may authorize to be provided to you, we currently intend to use the net proceeds from the sale of the securities offered hereby for general corporate purposes, which may include research and development and clinical development, investment in product enhancements, potential strategic opportunities and working capital and operating expenses.. As of the date of this prospectus, we cannot specify with certainty all of the particular uses of the proceeds from the sale of securities under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short- and intermediate-term, investment-grade, interest-bearing instruments. </w:t>
      </w:r>
    </w:p>
    <w:p>
      <w:pPr>
        <w:pStyle w:val="TextBody"/>
        <w:bidi w:val="0"/>
        <w:spacing w:before="480" w:after="0"/>
        <w:jc w:val="center"/>
        <w:rPr>
          <w:rFonts w:ascii="Times New Roman" w:hAnsi="Times New Roman"/>
          <w:b/>
          <w:sz w:val="20"/>
        </w:rPr>
      </w:pPr>
      <w:bookmarkStart w:id="22" w:name="toc108271_6"/>
      <w:bookmarkEnd w:id="22"/>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our amended and restated certificate of incorporation authorizes us to issue 700,000,000 shares of common stock, par value $0.0001 per share, and 10,000,000 shares of preferred stock, par value $0.0001 per share. All of our authorized preferred stock is undesignated.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rights of our common and preferred stockholders, of some of the provisions of our amended and restated certificate of incorporation and amended and restated bylaws and of the Delaware General Corporation Law (the “DGCL”). This summary is not complete. For more detailed information, please see our amended and restated certificate of incorporation and amended and restated bylaws, which are filed as exhibits to the registration statement of which this prospectus is a part, as well as the relevant provisions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w:t>
      </w:r>
      <w:r>
        <w:rPr>
          <w:rFonts w:ascii="Times New Roman" w:hAnsi="Times New Roman"/>
          <w:sz w:val="20"/>
        </w:rPr>
        <w:t xml:space="preserve"> Each holder of our common stock is entitled to one vote for each share on all matters to be voted upon by the common stockholders, and there will be no cumulative voting rights. </w:t>
      </w:r>
    </w:p>
    <w:p>
      <w:pPr>
        <w:pStyle w:val="TextBody"/>
        <w:bidi w:val="0"/>
        <w:spacing w:before="240" w:after="0"/>
        <w:jc w:val="left"/>
        <w:rPr>
          <w:rFonts w:ascii="Times New Roman" w:hAnsi="Times New Roman"/>
          <w:sz w:val="20"/>
        </w:rPr>
      </w:pPr>
      <w:r>
        <w:rPr>
          <w:rFonts w:ascii="Times New Roman" w:hAnsi="Times New Roman"/>
          <w:i/>
          <w:sz w:val="20"/>
        </w:rPr>
        <w:t>Dividends and Other Distributions.</w:t>
      </w:r>
      <w:r>
        <w:rPr>
          <w:rFonts w:ascii="Times New Roman" w:hAnsi="Times New Roman"/>
          <w:sz w:val="20"/>
        </w:rPr>
        <w:t xml:space="preserve"> Subject to any preferential rights of any outstanding preferred stock, holders of our common stock are entitled to receive ratably the dividends, if any, as may be declared from time to time by our board of directors out of funds legally available for that purpose. </w:t>
      </w:r>
    </w:p>
    <w:p>
      <w:pPr>
        <w:pStyle w:val="TextBody"/>
        <w:bidi w:val="0"/>
        <w:spacing w:before="240" w:after="0"/>
        <w:jc w:val="left"/>
        <w:rPr>
          <w:rFonts w:ascii="Times New Roman" w:hAnsi="Times New Roman"/>
          <w:sz w:val="20"/>
        </w:rPr>
      </w:pPr>
      <w:r>
        <w:rPr>
          <w:rFonts w:ascii="Times New Roman" w:hAnsi="Times New Roman"/>
          <w:i/>
          <w:sz w:val="20"/>
        </w:rPr>
        <w:t>Distribution on Dissolution.</w:t>
      </w:r>
      <w:r>
        <w:rPr>
          <w:rFonts w:ascii="Times New Roman" w:hAnsi="Times New Roman"/>
          <w:sz w:val="20"/>
        </w:rPr>
        <w:t xml:space="preserve"> If there is a liquidation, dissolution or winding up of our company, holders of our common stock are entitled to ratable distribution of our assets remaining after the payment in full of liabilities and any preferential rights of any outstanding preferred stock.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 Holders of our common stock have no preemptive or conversion rights or other subscription rights, and there are no redemption or sinking fund provisions applicable to the common stock. All outstanding shares of our common stock are fully paid and non-assessable. The rights, preferences and privileges of the holders of our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amended and restated certificate of incorporation, our board of directors has the authority, without further action by stockholders, to designate up to 10,000,000 shares of preferred stock in one or more series to fix the number of shares of such series and to determine for each such series, such voting powers, full or limited, or no voting powers, and such designation, preferences, and relative, participating, optional,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rights and such qualifications, limitations, or restrictions thereof, any or all of which may be greater than the rights of the common stock. To date, none of the 10,000,000 authorized shares of preferred stock have been designated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will fix the voting powers, designations, preferences, and relative, participating, optional, or other rights and such qualifications, limitations, or restrictions of the preferred stock of each series that we sell under this prospectus and any applicable prospectus supplements in the certificate of designation relating to each such series. We will incorporate by reference into the registration statement of which this prospectus is a part the form of any certificate of designation that describes the terms of the series of preferred stock we are offering before the issuance of the related series of preferred stock. 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 share, dividend period, payment date or dates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or other securities of ours, including warrants, and, if applicable, the conversion price, or how it will be calculated, and under what circumstances and the mechanism by which it may be adjusted, and 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or other securities of ours, and, if applicable, the exchange price, or how it will be calculated, and under what circumstances it may be adjusted, and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issuances of any class or series of preferred stock ranking senior to or on parity with the series of preferred stock being issued as to dividend rights and rights if we liquidate, dissolve or wind up our affairs;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rights, preferences, privileges, qualifications or limitations of, or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issue and sell shares of preferred stock pursuant to this prospectus, together with any applicable prospectus supplement or free writing prospectus, the shares will be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laws of the state of Delaware, the state of our incorporation, provide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could adversely affect the voting power, conversion or other rights of holders of common stock and reduce the likelihood that common stockholders will receive dividend payments and payments upon liquidation. Preferred stock could be issued quickly with terms designed to delay, deter or prevent a change in control of our company or make removal of management more difficult. Additionally, the issuance of preferred stock may have the effect of decreasing the market price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Our Amended and Restated Certificate of Incorporation, Our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DGCL and our amended and restated certificate of incorporation and amended and restated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its ability to negotiate with the proponent of an unfriendly or unsolicited proposal to acquire or restructure it outweigh the disadvantages of discouraging takeover or acquisition proposals because, among other things,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As a Delaware corporation, we are subject to Section 203 of the DGCL regarding corporate takeovers. In general, Section 203 of the DGCL prohibits a publicly held Delaware corporation from engaging in a “business combination” with an “interested stockholder” for a period of three years following the time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such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of the corporation and (2)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subsequent to such time the business combination is approved by the board of directors of such corporation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of the DGCL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involving the interested stockholder of 10% or more of the assets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of the DGCL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our board of directors is divided into three classes.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plurality of the votes cast by the stockholders entitled to vote in the election. Under the classified board provisions, it would take at least two elections of directors for any individual or group to gain control of our board of directors. Accordingly, these provisions could discourage a third party from initiating a proxy contest, making a tender offer or otherwise attempting to gain control of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so long as our board of directors is classified, our stockholders may remove our directors only for cause, by an affirmative vote of the holders of at least sixty-six and two-thirds percent (66-2/3%) of the voting power of the then-outstanding shares of capital stock entitled to vote generally at an election of directors,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Amendments to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it may be amended, altered changed or repealed in any manner provided by the DGCL, provided that the amendment of certain provisions will require the approval of at least sixty-six and two-thirds percent (66-2/3%) of the voting power of all of the then-outstanding shares of our capital stock entitled to vote thereon, voting together as a single class. Our amended and restated bylaws may be adopted, amended or repealed by stockholders upon the approval of at least sixty-six and two-thirds percent (66-2/3%) of the voting power of all of the then-outstanding shares of capital stock entitled to vote thereon, voting together as a single class. Additionally, our amended and restated certificate of incorporation provides that any provisions of our amended and restated bylaws may be adopted, amended or repealed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Size of Board and Vacancies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the number of directors which constitute the board of directors shall be fixed exclusively by the board of directors. Any vacancies on our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directors resulting from any increase in the authorized number of directors or the death, resignation, disqualification, removal or other causes will be filled by a majority of the board of directors then in office, even though less than a quorum, or the sole remaining director. Our amended and restated certificate of incorporation provide that any director appointed to fill a vacancy on our board of directors will hold office until the next annual meeting of stockholders held to elect the class of directors to which such director is elected and until such director’s successor shall have been elected and qualified or such director’s earlier death, resignation or removal.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only the chairperson of the board of directors, the chief executive officer, or the board of directors may call special meetings of stockholders. Stockholders may not call special stockholder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requires that any action to be taken by the Company’s stockholders must be effected at a duly called annual or special meeting of stockholders and not be taken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and nomination of candidates for election as directors, as well as minimum qualification requirements for stockholders making the proposals or nominations. Additionally, our amended and restated bylaws require that candidates for election as director disclose their qualifications and make certain representations.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that stockholders are denied the right to cumulate votes in the election of directors unless the company’s certificate of incorporation provides otherwise. Our amended and restated certificate of incorporation does not provide for cumulative voting.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Canton, Massachusetts 02021. The transfer agent for any series of preferred stock that we may offer under this prospectus will be named and described in the prospectus supplement for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“BBNX”. The applicable prospectus supplement will contain information, where applicable, as to any other listing, if any, on the Nasdaq Global Market or any securities market or other exchange of the preferred stock covered by such prospectus supplement. </w:t>
      </w:r>
    </w:p>
    <w:p>
      <w:pPr>
        <w:pStyle w:val="TextBody"/>
        <w:bidi w:val="0"/>
        <w:spacing w:before="480" w:after="0"/>
        <w:jc w:val="center"/>
        <w:rPr>
          <w:rFonts w:ascii="Times New Roman" w:hAnsi="Times New Roman"/>
          <w:b/>
          <w:sz w:val="20"/>
        </w:rPr>
      </w:pPr>
      <w:bookmarkStart w:id="23" w:name="toc108271_7"/>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of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is applicable. </w:t>
      </w:r>
    </w:p>
    <w:p>
      <w:pPr>
        <w:pStyle w:val="TextBody"/>
        <w:bidi w:val="0"/>
        <w:spacing w:before="480" w:after="0"/>
        <w:jc w:val="center"/>
        <w:rPr>
          <w:rFonts w:ascii="Times New Roman" w:hAnsi="Times New Roman"/>
          <w:b/>
          <w:sz w:val="20"/>
        </w:rPr>
      </w:pPr>
      <w:bookmarkStart w:id="24" w:name="toc108271_8"/>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forms of the warrant agreements as forms of warrant certificates containing the terms of the warrants being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the terms relating to a series of warrants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or prices and aggregate number of warrants offered;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the number of shares of common stock purchasable upon the exercise of one warrant and the price at which, and the currency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preferred stock, the number of shares of preferred stock purchasable upon the exercise of one warrant and the price at which, and the currency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the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force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the right to receive dividends, if any, or, payments upon our liquidation, dissolution or winding up or to exercise voting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preferred stock, the right to receive dividends, if any, or, payments upon our liquidation, dissolution or winding up or to exercise voting rights, if 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480" w:after="0"/>
        <w:jc w:val="center"/>
        <w:rPr>
          <w:rFonts w:ascii="Times New Roman" w:hAnsi="Times New Roman"/>
          <w:b/>
          <w:sz w:val="20"/>
        </w:rPr>
      </w:pPr>
      <w:bookmarkStart w:id="25" w:name="toc108271_9"/>
      <w:bookmarkEnd w:id="25"/>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240" w:after="0"/>
        <w:jc w:val="left"/>
        <w:rPr>
          <w:rFonts w:ascii="Times New Roman" w:hAnsi="Times New Roman"/>
          <w:sz w:val="20"/>
        </w:rPr>
      </w:pPr>
      <w:r>
        <w:rPr>
          <w:rFonts w:ascii="Times New Roman" w:hAnsi="Times New Roman"/>
          <w:sz w:val="20"/>
        </w:rPr>
        <w:t xml:space="preserve">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the global security, nor will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more than one financial intermediary in the chain of ownership for an investor. We do not monitor and are not responsible for the actions of any of those intermediaries.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Unless we provide otherwise in the applicable prospectus supplement, the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 </w:t>
      </w:r>
    </w:p>
    <w:p>
      <w:pPr>
        <w:pStyle w:val="TextBody"/>
        <w:bidi w:val="0"/>
        <w:spacing w:before="480" w:after="0"/>
        <w:jc w:val="center"/>
        <w:rPr>
          <w:rFonts w:ascii="Times New Roman" w:hAnsi="Times New Roman"/>
          <w:b/>
          <w:sz w:val="20"/>
        </w:rPr>
      </w:pPr>
      <w:bookmarkStart w:id="26" w:name="toc108271_10"/>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covered hereby from time to time pursuant to underwritten public offerings, direct sales to the public, negotiated transactions, block trades or a combination of these methods. A distribution of these securities offered by this prospectus may also be effected through the issuance of derivative securities, including without limitation, warrants. We may sell the securities to or through underwriters or dealers,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Global Market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 than on the Nasdaq Global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at-the-market offerings, if any, may be conducted by underwriters acting as principal or agent.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are underwriters of the securities offered by the prospectus supplement. Dealers and agents participating in the distribution of the securities may be deemed underwriters, and compensation received by them on resale of the securities may be deemed to be underwriting discounts. If such dealers or agents were deemed to be underwriters, they may be subject to statutory limitations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use underwriters, dealers or agents with whom we have a material relationship. We will describe in the prospectus supplement, naming the underwriter, dealer or agent, the nature of any such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and other compensation payable to the agent in the prospectus supplement. Unless the prospectus supplement states otherwise, the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underwriters and dealers with indemnification against civil liabilities, including liabilities under the Securities Act, or contribution with respect to payments that the agents, underwriters or dealers, or their affiliates may make with respect to these liabilities. Agents, underwriters and dealers, or their affiliates,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agents and underwriters who are qualified market makers on the Nasdaq Global Market may engage in passive market making transactions in the securities on the Nasdaq Global Market in accordance with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480" w:after="0"/>
        <w:jc w:val="center"/>
        <w:rPr>
          <w:rFonts w:ascii="Times New Roman" w:hAnsi="Times New Roman"/>
          <w:b/>
          <w:sz w:val="20"/>
        </w:rPr>
      </w:pPr>
      <w:bookmarkStart w:id="27" w:name="toc108271_11"/>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in connection with the offering and the validity of the securities offered by this prospectus, and any supplement thereto, will be passed upon by Cooley LLP, San Diego, California. </w:t>
      </w:r>
    </w:p>
    <w:p>
      <w:pPr>
        <w:pStyle w:val="TextBody"/>
        <w:bidi w:val="0"/>
        <w:spacing w:before="480" w:after="0"/>
        <w:jc w:val="center"/>
        <w:rPr>
          <w:rFonts w:ascii="Times New Roman" w:hAnsi="Times New Roman"/>
          <w:b/>
          <w:sz w:val="20"/>
        </w:rPr>
      </w:pPr>
      <w:bookmarkStart w:id="28" w:name="toc108271_12"/>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Beta Bionics, Inc. as of December 31, 2025 and 2024 and for each of the two years in the period ended December 31, 2025 appearing in Beta Bionics, Inc.’s Annual Report on Form 10-K for the year ended December 31, 2025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oc108271_13"/>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we filed with the SEC under the Securities Act.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take no responsibility for, and can provide no assurance as to the reliability of, any other information that others may give you.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Copies of certain information filed by us with the SEC are also available on our website at www.betabionics.com. Information contained in or accessible through our website does not constitute a part of this prospectus and is not incorporated by reference into this prospectus. We have included our website in this prospectus solely as an inactive textual reference. </w:t>
      </w:r>
    </w:p>
    <w:p>
      <w:pPr>
        <w:pStyle w:val="TextBody"/>
        <w:bidi w:val="0"/>
        <w:spacing w:before="480" w:after="0"/>
        <w:jc w:val="center"/>
        <w:rPr>
          <w:rFonts w:ascii="Times New Roman" w:hAnsi="Times New Roman"/>
          <w:b/>
          <w:sz w:val="20"/>
        </w:rPr>
      </w:pPr>
      <w:bookmarkStart w:id="30" w:name="toc108271_14"/>
      <w:bookmarkEnd w:id="30"/>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after the filing and concurrent effectiveness of the registration statement of which this prospectus forms a part but prior to the termination of all offerings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Form 8-K (other than information furnished rather than filed) filed with the SEC on </w:t>
            </w:r>
            <w:hyperlink r:id="rId14">
              <w:r>
                <w:rPr>
                  <w:rStyle w:val="InternetLink"/>
                  <w:rFonts w:ascii="Times New Roman" w:hAnsi="Times New Roman"/>
                  <w:sz w:val="20"/>
                </w:rPr>
                <w:t>January 30,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capital stock, which is registered under Section 12 of the Exchange Act, described in </w:t>
            </w:r>
            <w:hyperlink r:id="rId15">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2024, filed with the SEC on March 25, 2025,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11 Hughes, Irvine, California 92618 Attn: Investor Relations, or telephoning us at (949) 427-7785.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pPr>
      <w:r>
        <w:rPr/>
        <w:drawing>
          <wp:inline distT="0" distB="0" distL="0" distR="0">
            <wp:extent cx="1628775"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1628775" cy="3429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7,652,175 Shares of common stock </w:t>
      </w:r>
    </w:p>
    <w:p>
      <w:pPr>
        <w:pStyle w:val="TextBody"/>
        <w:bidi w:val="0"/>
        <w:spacing w:before="480" w:after="0"/>
        <w:jc w:val="center"/>
        <w:rPr>
          <w:rFonts w:ascii="Times New Roman" w:hAnsi="Times New Roman"/>
          <w:b/>
          <w:sz w:val="28"/>
        </w:rPr>
      </w:pPr>
      <w:r>
        <w:rPr>
          <w:rFonts w:ascii="Times New Roman" w:hAnsi="Times New Roman"/>
          <w:b/>
          <w:sz w:val="28"/>
        </w:rPr>
        <w:t xml:space="preserve">Pre-funded warrants to purchase 1,043,484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24"/>
        <w:gridCol w:w="60"/>
        <w:gridCol w:w="2437"/>
        <w:gridCol w:w="107"/>
        <w:gridCol w:w="2574"/>
        <w:gridCol w:w="121"/>
        <w:gridCol w:w="2182"/>
      </w:tblGrid>
      <w:tr>
        <w:trPr/>
        <w:tc>
          <w:tcPr>
            <w:tcW w:w="27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r>
      <w:tr>
        <w:trPr/>
        <w:tc>
          <w:tcPr>
            <w:tcW w:w="2724" w:type="dxa"/>
            <w:tcBorders/>
          </w:tcPr>
          <w:p>
            <w:pPr>
              <w:pStyle w:val="TableContents"/>
              <w:bidi w:val="0"/>
              <w:spacing w:before="0" w:after="283"/>
              <w:jc w:val="center"/>
              <w:rPr>
                <w:b/>
              </w:rPr>
            </w:pPr>
            <w:r>
              <w:rPr>
                <w:b/>
              </w:rPr>
              <w:t>J.P. Morgan</w:t>
            </w:r>
          </w:p>
        </w:tc>
        <w:tc>
          <w:tcPr>
            <w:tcW w:w="60" w:type="dxa"/>
            <w:tcBorders/>
            <w:vAlign w:val="bottom"/>
          </w:tcPr>
          <w:p>
            <w:pPr>
              <w:pStyle w:val="TableContents"/>
              <w:bidi w:val="0"/>
              <w:spacing w:before="0" w:after="283"/>
              <w:jc w:val="left"/>
              <w:rPr/>
            </w:pPr>
            <w:r>
              <w:rPr/>
              <w:t> </w:t>
            </w:r>
          </w:p>
        </w:tc>
        <w:tc>
          <w:tcPr>
            <w:tcW w:w="2437" w:type="dxa"/>
            <w:tcBorders/>
          </w:tcPr>
          <w:p>
            <w:pPr>
              <w:pStyle w:val="TableContents"/>
              <w:bidi w:val="0"/>
              <w:spacing w:before="0" w:after="283"/>
              <w:jc w:val="center"/>
              <w:rPr>
                <w:b/>
              </w:rPr>
            </w:pPr>
            <w:r>
              <w:rPr>
                <w:b/>
              </w:rPr>
              <w:t>Piper Sandler</w:t>
            </w:r>
          </w:p>
        </w:tc>
        <w:tc>
          <w:tcPr>
            <w:tcW w:w="107" w:type="dxa"/>
            <w:tcBorders/>
            <w:vAlign w:val="bottom"/>
          </w:tcPr>
          <w:p>
            <w:pPr>
              <w:pStyle w:val="TableContents"/>
              <w:bidi w:val="0"/>
              <w:spacing w:before="0" w:after="283"/>
              <w:jc w:val="left"/>
              <w:rPr/>
            </w:pPr>
            <w:r>
              <w:rPr/>
              <w:t> </w:t>
            </w:r>
          </w:p>
        </w:tc>
        <w:tc>
          <w:tcPr>
            <w:tcW w:w="2574" w:type="dxa"/>
            <w:tcBorders/>
          </w:tcPr>
          <w:p>
            <w:pPr>
              <w:pStyle w:val="TableContents"/>
              <w:bidi w:val="0"/>
              <w:spacing w:before="0" w:after="283"/>
              <w:jc w:val="center"/>
              <w:rPr>
                <w:b/>
              </w:rPr>
            </w:pPr>
            <w:r>
              <w:rPr>
                <w:b/>
              </w:rPr>
              <w:t>Wells Fargo Securities</w:t>
            </w:r>
          </w:p>
        </w:tc>
        <w:tc>
          <w:tcPr>
            <w:tcW w:w="121" w:type="dxa"/>
            <w:tcBorders/>
            <w:vAlign w:val="bottom"/>
          </w:tcPr>
          <w:p>
            <w:pPr>
              <w:pStyle w:val="TableContents"/>
              <w:bidi w:val="0"/>
              <w:spacing w:before="0" w:after="283"/>
              <w:jc w:val="left"/>
              <w:rPr/>
            </w:pPr>
            <w:r>
              <w:rPr/>
              <w:t>  </w:t>
            </w:r>
          </w:p>
        </w:tc>
        <w:tc>
          <w:tcPr>
            <w:tcW w:w="2182" w:type="dxa"/>
            <w:tcBorders/>
          </w:tcPr>
          <w:p>
            <w:pPr>
              <w:pStyle w:val="TableContents"/>
              <w:bidi w:val="0"/>
              <w:spacing w:before="0" w:after="283"/>
              <w:jc w:val="center"/>
              <w:rPr>
                <w:b/>
              </w:rPr>
            </w:pPr>
            <w:r>
              <w:rPr>
                <w:b/>
              </w:rPr>
              <w:t>Leerink Partners</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September 15,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1" w:name="d108271dexfilingfees.htm"/>
      <w:bookmarkStart w:id="32" w:name="ksd108271dexfilingfees"/>
      <w:bookmarkStart w:id="33" w:name="d108271dexfilingfees.htm"/>
      <w:bookmarkStart w:id="34" w:name="ksd108271dexfilingfees"/>
      <w:bookmarkEnd w:id="33"/>
      <w:bookmarkEnd w:id="34"/>
      <w:r>
        <w:br w:type="page"/>
      </w:r>
    </w:p>
    <w:tbl>
      <w:tblPr>
        <w:tblW w:w="3564" w:type="dxa"/>
        <w:jc w:val="left"/>
        <w:tblInd w:w="0" w:type="dxa"/>
        <w:tblLayout w:type="fixed"/>
        <w:tblCellMar>
          <w:top w:w="28" w:type="dxa"/>
          <w:left w:w="28" w:type="dxa"/>
          <w:bottom w:w="28" w:type="dxa"/>
          <w:right w:w="28" w:type="dxa"/>
        </w:tblCellMar>
      </w:tblPr>
      <w:tblGrid>
        <w:gridCol w:w="3410"/>
        <w:gridCol w:w="154"/>
      </w:tblGrid>
      <w:tr>
        <w:trPr/>
        <w:tc>
          <w:tcPr>
            <w:tcW w:w="356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b/>
              </w:rPr>
            </w:pPr>
            <w:r>
              <w:rPr>
                <w:b/>
              </w:rPr>
              <w:t xml:space="preserve">Beta Bionics,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19" w:type="dxa"/>
        <w:jc w:val="left"/>
        <w:tblInd w:w="0" w:type="dxa"/>
        <w:tblLayout w:type="fixed"/>
        <w:tblCellMar>
          <w:top w:w="28" w:type="dxa"/>
          <w:left w:w="28" w:type="dxa"/>
          <w:bottom w:w="28" w:type="dxa"/>
          <w:right w:w="28" w:type="dxa"/>
        </w:tblCellMar>
      </w:tblPr>
      <w:tblGrid>
        <w:gridCol w:w="1126"/>
        <w:gridCol w:w="226"/>
        <w:gridCol w:w="946"/>
        <w:gridCol w:w="115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5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1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10,000,007 </w:t>
            </w:r>
          </w:p>
        </w:tc>
        <w:tc>
          <w:tcPr>
            <w:tcW w:w="1156" w:type="dxa"/>
            <w:tcBorders/>
            <w:shd w:fill="E7E7E2" w:val="clear"/>
            <w:vAlign w:val="center"/>
          </w:tcPr>
          <w:p>
            <w:pPr>
              <w:pStyle w:val="TableContents"/>
              <w:bidi w:val="0"/>
              <w:spacing w:before="0" w:after="283"/>
              <w:jc w:val="right"/>
              <w:rPr/>
            </w:pPr>
            <w:r>
              <w:rPr/>
              <w:t xml:space="preserve">$ 17.25 </w:t>
            </w:r>
          </w:p>
        </w:tc>
        <w:tc>
          <w:tcPr>
            <w:tcW w:w="1786" w:type="dxa"/>
            <w:tcBorders/>
            <w:shd w:fill="E7E7E2" w:val="clear"/>
            <w:vAlign w:val="center"/>
          </w:tcPr>
          <w:p>
            <w:pPr>
              <w:pStyle w:val="TableContents"/>
              <w:bidi w:val="0"/>
              <w:spacing w:before="0" w:after="283"/>
              <w:jc w:val="right"/>
              <w:rPr/>
            </w:pPr>
            <w:r>
              <w:rPr/>
              <w:t xml:space="preserve">$ 172,500,120.75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$ 23,822.27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Pre-funded warrants to purchase 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1,043,484 </w:t>
            </w:r>
          </w:p>
        </w:tc>
        <w:tc>
          <w:tcPr>
            <w:tcW w:w="1156" w:type="dxa"/>
            <w:tcBorders/>
            <w:shd w:fill="E7E7E2" w:val="clear"/>
            <w:vAlign w:val="center"/>
          </w:tcPr>
          <w:p>
            <w:pPr>
              <w:pStyle w:val="TableContents"/>
              <w:bidi w:val="0"/>
              <w:spacing w:before="0" w:after="283"/>
              <w:jc w:val="right"/>
              <w:rPr/>
            </w:pPr>
            <w:r>
              <w:rPr/>
              <w:t xml:space="preserve">$ 17.2499 </w:t>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1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5" w:name="MaxAggtOfferingPrice"/>
            <w:bookmarkEnd w:id="35"/>
            <w:r>
              <w:rPr/>
              <w:t xml:space="preserve">$ 172,500,120.75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$ 23,822.27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$ 23,822.27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320"/>
        <w:gridCol w:w="8685"/>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This "Calculation of Filing Fee Table" shall be deemed to update the "Calculation of Filing Fee Table" in the registrant's registration statement on Form S-3ASR (File No. 333-293702) filed with the Securities and Exchange Commission on February 24, 2026 (the "Registration Statement"). Amount Registered includes (a) 1,304,348 shares of common stock issuable upon exercise of the underwriters' option to purchase additional shares of common stock and (b) 1,043,484 shares of common stock issuable upon exercise of pre-funded warrants to purchase common stock. The filing fee, calculated in accordance with Rule 457(r) under the Securities Act of 1933, as amended (the "Securities Act"), has been transmitted to the Securities and Exchange Commission in connection with the securities offered by means of this prospectus supplement. Maximum Offering Price per Unit of shares includes the sum of the offering price of the pre-funded warrants of $17.2499 per pre-funded warrant and the exercise price of $0.0001 per share of common stock issuable upon exercise of the pre-funded warrants. </w:t>
            </w:r>
          </w:p>
        </w:tc>
      </w:tr>
      <w:tr>
        <w:trPr/>
        <w:tc>
          <w:tcPr>
            <w:tcW w:w="1520" w:type="dxa"/>
            <w:gridSpan w:val="2"/>
            <w:tcBorders/>
            <w:vAlign w:val="center"/>
          </w:tcPr>
          <w:p>
            <w:pPr>
              <w:pStyle w:val="HorizontalLine"/>
              <w:pBdr>
                <w:bottom w:val="double" w:sz="2" w:space="0" w:color="808080"/>
              </w:pBdr>
              <w:bidi w:val="0"/>
              <w:spacing w:before="0" w:after="283"/>
              <w:jc w:val="left"/>
              <w:rPr/>
            </w:pPr>
            <w:r>
              <w:rPr/>
            </w:r>
          </w:p>
        </w:tc>
        <w:tc>
          <w:tcPr>
            <w:tcW w:w="8685"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Pursuant to Rule 416 under the Securities Act, the pre-funded warrants to purchase common stock being registered hereunder include such indeterminate number of additional shares of common stock as may be issued after the date hereof as a result of share splits, share dividends or similar transactions. The registration fee for the pre-funded warrants is being allocated to the shares of common stock issuable upon exercise of the pre-funded warrants. </w:t>
            </w:r>
          </w:p>
        </w:tc>
      </w:tr>
      <w:tr>
        <w:trPr/>
        <w:tc>
          <w:tcPr>
            <w:tcW w:w="1520" w:type="dxa"/>
            <w:gridSpan w:val="2"/>
            <w:tcBorders/>
            <w:vAlign w:val="center"/>
          </w:tcPr>
          <w:p>
            <w:pPr>
              <w:pStyle w:val="HorizontalLine"/>
              <w:pBdr>
                <w:bottom w:val="double" w:sz="2" w:space="0" w:color="808080"/>
              </w:pBdr>
              <w:bidi w:val="0"/>
              <w:spacing w:before="0" w:after="283"/>
              <w:jc w:val="left"/>
              <w:rPr/>
            </w:pPr>
            <w:r>
              <w:rPr/>
            </w:r>
          </w:p>
        </w:tc>
        <w:tc>
          <w:tcPr>
            <w:tcW w:w="868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$172,500,120.75.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74632/000119312526067065/bbnx-20251231.htm" TargetMode="External"/><Relationship Id="rId4" Type="http://schemas.openxmlformats.org/officeDocument/2006/relationships/hyperlink" Target="http://www.sec.gov/Archives/edgar/data/../../../ix?doc=/Archives/edgar/data/0001674632/000119312526151235/bbnx-20260408.htm" TargetMode="External"/><Relationship Id="rId5" Type="http://schemas.openxmlformats.org/officeDocument/2006/relationships/hyperlink" Target="http://www.sec.gov/Archives/edgar/data/../../../ix?doc=/Archives/edgar/data/0001674632/000119312526166843/bbnx-20260331.htm" TargetMode="External"/><Relationship Id="rId6" Type="http://schemas.openxmlformats.org/officeDocument/2006/relationships/hyperlink" Target="http://www.sec.gov/Archives/edgar/data/../../../ix?doc=/Archives/edgar/data/0001674632/000119312526323777/bbnx-20260630.htm" TargetMode="External"/><Relationship Id="rId7" Type="http://schemas.openxmlformats.org/officeDocument/2006/relationships/hyperlink" Target="http://www.sec.gov/Archives/edgar/data/1674632/000117184326000538/f8k_012926.htm" TargetMode="External"/><Relationship Id="rId8" Type="http://schemas.openxmlformats.org/officeDocument/2006/relationships/hyperlink" Target="http://www.sec.gov/Archives/edgar/data/../../../ix?doc=/Archives/edgar/data/0001674632/000117184326003617/f8k_052126.htm" TargetMode="External"/><Relationship Id="rId9" Type="http://schemas.openxmlformats.org/officeDocument/2006/relationships/hyperlink" Target="http://www.sec.gov/Archives/edgar/data/../../../ix?doc=/Archives/edgar/data/0001674632/000117184326003648/f8k_052226.htm" TargetMode="External"/><Relationship Id="rId10" Type="http://schemas.openxmlformats.org/officeDocument/2006/relationships/hyperlink" Target="http://www.sec.gov/Archives/edgar/data/../../../ix?doc=/Archives/edgar/data/1674632/000119312526392088/d153052d8k.htm" TargetMode="External"/><Relationship Id="rId11" Type="http://schemas.openxmlformats.org/officeDocument/2006/relationships/hyperlink" Target="http://www.sec.gov/Archives/edgar/data/1674632/000095017025044516/bbnx-ex4_3.htm" TargetMode="External"/><Relationship Id="rId12" Type="http://schemas.openxmlformats.org/officeDocument/2006/relationships/image" Target="media/image2.jpeg"/><Relationship Id="rId13" Type="http://schemas.openxmlformats.org/officeDocument/2006/relationships/hyperlink" Target="http://www.sec.gov/Archives/edgar/data/../../../ix?doc=/Archives/edgar/data/1674632/000119312526067065/bbnx-20251231.htm" TargetMode="External"/><Relationship Id="rId14" Type="http://schemas.openxmlformats.org/officeDocument/2006/relationships/hyperlink" Target="http://www.sec.gov/Archives/edgar/data/1674632/000117184326000538/f8k_012926.htm" TargetMode="External"/><Relationship Id="rId15" Type="http://schemas.openxmlformats.org/officeDocument/2006/relationships/hyperlink" Target="http://www.sec.gov/Archives/edgar/data/1674632/000095017025044516/bbnx-ex4_3.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37161</Words>
  <Characters>196056</Characters>
  <CharactersWithSpaces>234025</CharactersWithSpaces>
  <Paragraphs>2436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