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9182026_110936.xml.htm"/>
      <w:bookmarkStart w:id="1" w:name="ksform4a09182026_1109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Hopman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BETA BIONICS,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HUGHES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Beta Bionics,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962"/>
        <w:gridCol w:w="439"/>
        <w:gridCol w:w="925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18.4628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88,033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Rule 10b5-1 Plan adopted on June 10, 2026 (the "10b5-1 Plan").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September 10, 2026, the reporting person filed a Form 4 which incorrectly reported the number of shares disposed. The reporting person sold 35,994 shares under the 10b5-1 Plan on September 9, 2026 and the number of securities beneficially owned following the sale was 88,033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Feider,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48497" TargetMode="External"/><Relationship Id="rId5" Type="http://schemas.openxmlformats.org/officeDocument/2006/relationships/hyperlink" Target="http://www.sec.gov/cgi-bin/browse-edgar?action=getcompany&amp;CIK=00016746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3422</Characters>
  <CharactersWithSpaces>3983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