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72826.htm"/>
      <w:bookmarkStart w:id="1" w:name="ksf8k_0728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July 29, 2026</w:t>
      </w:r>
    </w:p>
    <w:p>
      <w:pPr>
        <w:pStyle w:val="TextBody"/>
        <w:bidi w:val="0"/>
        <w:jc w:val="center"/>
        <w:rPr/>
      </w:pPr>
      <w:r>
        <w:rPr/>
        <w:t>_______________________________</w:t>
      </w:r>
    </w:p>
    <w:p>
      <w:pPr>
        <w:pStyle w:val="TextBody"/>
        <w:bidi w:val="0"/>
        <w:spacing w:before="120" w:after="283"/>
        <w:jc w:val="center"/>
        <w:rPr>
          <w:b/>
          <w:sz w:val="24"/>
        </w:rPr>
      </w:pPr>
      <w:r>
        <w:rPr>
          <w:b/>
          <w:sz w:val="24"/>
        </w:rPr>
        <w:t>Beta Bionics,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001-42491</w:t>
            </w:r>
          </w:p>
        </w:tc>
        <w:tc>
          <w:tcPr>
            <w:tcW w:w="2900" w:type="dxa"/>
            <w:tcBorders/>
            <w:vAlign w:val="center"/>
          </w:tcPr>
          <w:p>
            <w:pPr>
              <w:pStyle w:val="TableContents"/>
              <w:bidi w:val="0"/>
              <w:spacing w:before="0" w:after="283"/>
              <w:jc w:val="center"/>
              <w:rPr>
                <w:b/>
                <w:sz w:val="20"/>
              </w:rPr>
            </w:pPr>
            <w:r>
              <w:rPr>
                <w:b/>
                <w:sz w:val="20"/>
              </w:rPr>
              <w:t>47-5386878</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11 Hughes</w:t>
      </w:r>
    </w:p>
    <w:p>
      <w:pPr>
        <w:pStyle w:val="TextBody"/>
        <w:bidi w:val="0"/>
        <w:spacing w:before="0" w:after="0"/>
        <w:jc w:val="center"/>
        <w:rPr>
          <w:b/>
          <w:sz w:val="20"/>
        </w:rPr>
      </w:pPr>
      <w:r>
        <w:rPr>
          <w:b/>
          <w:sz w:val="20"/>
        </w:rPr>
        <w:t>Irvine, California 92618</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(949) 427-7785</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N/A</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715" w:type="dxa"/>
        <w:jc w:val="left"/>
        <w:tblInd w:w="0" w:type="dxa"/>
        <w:tblLayout w:type="fixed"/>
        <w:tblCellMar>
          <w:top w:w="0" w:type="dxa"/>
          <w:left w:w="0" w:type="dxa"/>
          <w:bottom w:w="28" w:type="dxa"/>
          <w:right w:w="0" w:type="dxa"/>
        </w:tblCellMar>
      </w:tblPr>
      <w:tblGrid>
        <w:gridCol w:w="3605"/>
        <w:gridCol w:w="1535"/>
        <w:gridCol w:w="3575"/>
      </w:tblGrid>
      <w:tr>
        <w:trPr/>
        <w:tc>
          <w:tcPr>
            <w:tcW w:w="360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605" w:type="dxa"/>
            <w:tcBorders/>
            <w:tcMar>
              <w:bottom w:w="0" w:type="dxa"/>
            </w:tcMar>
            <w:vAlign w:val="center"/>
          </w:tcPr>
          <w:p>
            <w:pPr>
              <w:pStyle w:val="TableContents"/>
              <w:bidi w:val="0"/>
              <w:spacing w:before="0" w:after="283"/>
              <w:jc w:val="center"/>
              <w:rPr>
                <w:sz w:val="20"/>
              </w:rPr>
            </w:pPr>
            <w:r>
              <w:rPr>
                <w:sz w:val="20"/>
              </w:rPr>
              <w:t>Common Stock, $0.0001 par value per share</w:t>
            </w:r>
          </w:p>
        </w:tc>
        <w:tc>
          <w:tcPr>
            <w:tcW w:w="1535" w:type="dxa"/>
            <w:tcBorders/>
            <w:tcMar>
              <w:bottom w:w="0" w:type="dxa"/>
            </w:tcMar>
            <w:vAlign w:val="center"/>
          </w:tcPr>
          <w:p>
            <w:pPr>
              <w:pStyle w:val="TableContents"/>
              <w:bidi w:val="0"/>
              <w:spacing w:before="0" w:after="283"/>
              <w:jc w:val="center"/>
              <w:rPr>
                <w:sz w:val="20"/>
              </w:rPr>
            </w:pPr>
            <w:r>
              <w:rPr>
                <w:sz w:val="20"/>
              </w:rPr>
              <w:t>BBNX</w:t>
            </w:r>
          </w:p>
        </w:tc>
        <w:tc>
          <w:tcPr>
            <w:tcW w:w="3575" w:type="dxa"/>
            <w:tcBorders/>
            <w:tcMar>
              <w:bottom w:w="0" w:type="dxa"/>
            </w:tcMar>
            <w:vAlign w:val="center"/>
          </w:tcPr>
          <w:p>
            <w:pPr>
              <w:pStyle w:val="TableContents"/>
              <w:bidi w:val="0"/>
              <w:spacing w:before="0" w:after="283"/>
              <w:jc w:val="center"/>
              <w:rPr>
                <w:sz w:val="20"/>
              </w:rPr>
            </w:pPr>
            <w:r>
              <w:rPr>
                <w:sz w:val="20"/>
              </w:rPr>
              <w:t>Nasdaq Global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0"/>
        <w:ind w:left="0" w:right="0" w:hanging="0"/>
        <w:jc w:val="both"/>
        <w:rPr/>
      </w:pPr>
      <w:r>
        <w:rPr/>
        <w:t> </w:t>
      </w:r>
    </w:p>
    <w:p>
      <w:pPr>
        <w:pStyle w:val="TextBody"/>
        <w:bidi w:val="0"/>
        <w:spacing w:before="0" w:after="0"/>
        <w:ind w:left="0" w:right="0" w:firstLine="360"/>
        <w:jc w:val="both"/>
        <w:rPr>
          <w:sz w:val="20"/>
        </w:rPr>
      </w:pPr>
      <w:r>
        <w:rPr>
          <w:sz w:val="20"/>
        </w:rPr>
        <w:t>On July 29, 2026, Beta Bionics, Inc. (the “Company”) issued a press release announcing its financial results for the second quarter ended June 30, 2026. A copy of the press release is attached hereto as Exhibit 99.1.</w:t>
      </w:r>
    </w:p>
    <w:p>
      <w:pPr>
        <w:pStyle w:val="TextBody"/>
        <w:bidi w:val="0"/>
        <w:spacing w:before="0" w:after="0"/>
        <w:ind w:left="0" w:right="0" w:firstLine="360"/>
        <w:jc w:val="both"/>
        <w:rPr/>
      </w:pPr>
      <w:r>
        <w:rPr/>
        <w:t> </w:t>
      </w:r>
    </w:p>
    <w:p>
      <w:pPr>
        <w:pStyle w:val="TextBody"/>
        <w:bidi w:val="0"/>
        <w:spacing w:before="0" w:after="0"/>
        <w:ind w:left="0" w:right="0" w:firstLine="360"/>
        <w:jc w:val="both"/>
        <w:rPr>
          <w:sz w:val="20"/>
        </w:rPr>
      </w:pPr>
      <w:r>
        <w:rPr>
          <w:sz w:val="20"/>
        </w:rPr>
        <w:t>The information contained under this Item 2.02, including Exhibit 99.1 attached hereto, shall not be deemed “filed” for purposes of Section 18 of the Securities Exchange Act of 1934, as amended (the “Exchange Act”), or otherwise subject to the liability of that section, nor shall it be deemed incorporated by reference in any filing under the Securities Act of 1933, as amended, or under the Exchange Act, regardless of any general incorporation language in any such filing, unless the Company expressly sets forth in such filing that such information is to be considered “filed” or incorporated by reference therein.</w:t>
      </w:r>
    </w:p>
    <w:p>
      <w:pPr>
        <w:pStyle w:val="TextBody"/>
        <w:bidi w:val="0"/>
        <w:spacing w:before="0" w:after="0"/>
        <w:ind w:left="0" w:right="0" w:firstLine="360"/>
        <w:jc w:val="both"/>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       Exhibits.</w:t>
      </w:r>
    </w:p>
    <w:p>
      <w:pPr>
        <w:pStyle w:val="TextBody"/>
        <w:bidi w:val="0"/>
        <w:spacing w:before="0" w:after="0"/>
        <w:ind w:left="0" w:right="0" w:hanging="0"/>
        <w:jc w:val="both"/>
        <w:rPr/>
      </w:pPr>
      <w:r>
        <w:rPr/>
        <w:t> </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bottom"/>
          </w:tcPr>
          <w:p>
            <w:pPr>
              <w:pStyle w:val="TableContents"/>
              <w:bidi w:val="0"/>
              <w:spacing w:before="0" w:after="283"/>
              <w:jc w:val="left"/>
              <w:rPr>
                <w:b/>
                <w:sz w:val="20"/>
                <w:u w:val="single"/>
              </w:rPr>
            </w:pPr>
            <w:r>
              <w:rPr>
                <w:b/>
                <w:sz w:val="20"/>
                <w:u w:val="single"/>
              </w:rPr>
              <w:t>Exhibit No.</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u w:val="single"/>
              </w:rPr>
            </w:pPr>
            <w:r>
              <w:rPr>
                <w:b/>
                <w:sz w:val="20"/>
                <w:u w:val="single"/>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July 29, 2026.</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5055" w:type="dxa"/>
        <w:jc w:val="left"/>
        <w:tblInd w:w="0" w:type="dxa"/>
        <w:tblLayout w:type="fixed"/>
        <w:tblCellMar>
          <w:top w:w="0" w:type="dxa"/>
          <w:left w:w="0" w:type="dxa"/>
          <w:bottom w:w="0" w:type="dxa"/>
          <w:right w:w="0" w:type="dxa"/>
        </w:tblCellMar>
      </w:tblPr>
      <w:tblGrid>
        <w:gridCol w:w="1610"/>
        <w:gridCol w:w="365"/>
        <w:gridCol w:w="3080"/>
      </w:tblGrid>
      <w:tr>
        <w:trPr/>
        <w:tc>
          <w:tcPr>
            <w:tcW w:w="1610"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b/>
                <w:sz w:val="20"/>
              </w:rPr>
            </w:pPr>
            <w:r>
              <w:rPr>
                <w:b/>
                <w:sz w:val="20"/>
              </w:rPr>
              <w:t>Beta Bionics, Inc.</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sz w:val="20"/>
              </w:rPr>
            </w:pPr>
            <w:r>
              <w:rPr>
                <w:sz w:val="20"/>
              </w:rPr>
              <w:t>Date: July 29, 2026</w:t>
            </w:r>
          </w:p>
        </w:tc>
        <w:tc>
          <w:tcPr>
            <w:tcW w:w="365" w:type="dxa"/>
            <w:tcBorders/>
            <w:vAlign w:val="center"/>
          </w:tcPr>
          <w:p>
            <w:pPr>
              <w:pStyle w:val="TableContents"/>
              <w:bidi w:val="0"/>
              <w:spacing w:before="0" w:after="283"/>
              <w:jc w:val="left"/>
              <w:rPr>
                <w:sz w:val="20"/>
              </w:rPr>
            </w:pPr>
            <w:r>
              <w:rPr>
                <w:sz w:val="20"/>
              </w:rPr>
              <w:t>By: </w:t>
            </w:r>
          </w:p>
        </w:tc>
        <w:tc>
          <w:tcPr>
            <w:tcW w:w="3080" w:type="dxa"/>
            <w:tcBorders/>
            <w:vAlign w:val="center"/>
          </w:tcPr>
          <w:p>
            <w:pPr>
              <w:pStyle w:val="TableContents"/>
              <w:bidi w:val="0"/>
              <w:spacing w:before="0" w:after="283"/>
              <w:jc w:val="left"/>
              <w:rPr>
                <w:sz w:val="20"/>
                <w:u w:val="single"/>
              </w:rPr>
            </w:pPr>
            <w:r>
              <w:rPr>
                <w:sz w:val="20"/>
                <w:u w:val="single"/>
              </w:rPr>
              <w:t>/s/ Sean Saint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20"/>
              </w:rPr>
            </w:pPr>
            <w:r>
              <w:rPr>
                <w:sz w:val="20"/>
              </w:rPr>
              <w:t xml:space="preserve">Sean Saint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20"/>
              </w:rPr>
            </w:pPr>
            <w:r>
              <w:rPr>
                <w:sz w:val="20"/>
              </w:rPr>
              <w:t>President and Chief Executive Officer</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Beta Bionics Announces Second Quarter 2026 Financial Results and Updates Full Year 2026 Guidance</w:t>
      </w:r>
    </w:p>
    <w:p>
      <w:pPr>
        <w:pStyle w:val="TextBody"/>
        <w:bidi w:val="0"/>
        <w:spacing w:before="0" w:after="283"/>
        <w:jc w:val="left"/>
        <w:rPr/>
      </w:pPr>
      <w:r>
        <w:rPr/>
        <w:t>IRVINE, Calif., July 29, 2026 (GLOBE NEWSWIRE) -- Beta Bionics, Inc. (Nasdaq: BBNX), a pioneering leader in the development of advanced diabetes management solutions, today reported its financial results for the quarter ended June 30, 2026 and updated its full year guidance for the year ending December 31, 2026.</w:t>
      </w:r>
    </w:p>
    <w:p>
      <w:pPr>
        <w:pStyle w:val="TextBody"/>
        <w:bidi w:val="0"/>
        <w:spacing w:before="0" w:after="283"/>
        <w:jc w:val="left"/>
        <w:rPr/>
      </w:pPr>
      <w:r>
        <w:rPr>
          <w:rStyle w:val="StrongEmphasis"/>
        </w:rPr>
        <w:t>Second Quarter 2026 Financial Highlights &amp; Key Metrics</w:t>
      </w:r>
    </w:p>
    <w:p>
      <w:pPr>
        <w:pStyle w:val="TextBody"/>
        <w:numPr>
          <w:ilvl w:val="0"/>
          <w:numId w:val="2"/>
        </w:numPr>
        <w:tabs>
          <w:tab w:val="clear" w:pos="1134"/>
          <w:tab w:val="left" w:pos="709" w:leader="none"/>
        </w:tabs>
        <w:bidi w:val="0"/>
        <w:spacing w:before="0" w:after="120"/>
        <w:ind w:left="709" w:hanging="283"/>
        <w:jc w:val="left"/>
        <w:rPr/>
      </w:pPr>
      <w:r>
        <w:rPr/>
        <w:t xml:space="preserve">Net sales of $32.0 million, up 38% compared to $23.2 million in the second quarter of 2025. </w:t>
      </w:r>
    </w:p>
    <w:p>
      <w:pPr>
        <w:pStyle w:val="TextBody"/>
        <w:numPr>
          <w:ilvl w:val="1"/>
          <w:numId w:val="2"/>
        </w:numPr>
        <w:tabs>
          <w:tab w:val="clear" w:pos="1134"/>
          <w:tab w:val="left" w:pos="1418" w:leader="none"/>
        </w:tabs>
        <w:bidi w:val="0"/>
        <w:spacing w:before="0" w:after="120"/>
        <w:ind w:left="1418" w:hanging="283"/>
        <w:jc w:val="left"/>
        <w:rPr/>
      </w:pPr>
      <w:r>
        <w:rPr/>
        <w:t>Durable Medical Equipment (DME) channel net sales of $20.4 million, up 9% compared to $18.6 million in the second quarter of 2025.</w:t>
      </w:r>
    </w:p>
    <w:p>
      <w:pPr>
        <w:pStyle w:val="TextBody"/>
        <w:numPr>
          <w:ilvl w:val="1"/>
          <w:numId w:val="2"/>
        </w:numPr>
        <w:tabs>
          <w:tab w:val="clear" w:pos="1134"/>
          <w:tab w:val="left" w:pos="1418" w:leader="none"/>
        </w:tabs>
        <w:bidi w:val="0"/>
        <w:spacing w:before="0" w:after="120"/>
        <w:ind w:left="1418" w:hanging="283"/>
        <w:jc w:val="left"/>
        <w:rPr/>
      </w:pPr>
      <w:r>
        <w:rPr/>
        <w:t>Pharmacy Benefit Plan (PBP) channel net sales of $11.6 million, up 153% compared to $4.6 million in the second quarter of 2025.</w:t>
      </w:r>
    </w:p>
    <w:p>
      <w:pPr>
        <w:pStyle w:val="TextBody"/>
        <w:numPr>
          <w:ilvl w:val="0"/>
          <w:numId w:val="2"/>
        </w:numPr>
        <w:tabs>
          <w:tab w:val="clear" w:pos="1134"/>
          <w:tab w:val="left" w:pos="709" w:leader="none"/>
        </w:tabs>
        <w:bidi w:val="0"/>
        <w:spacing w:before="0" w:after="120"/>
        <w:ind w:left="709" w:hanging="283"/>
        <w:jc w:val="left"/>
        <w:rPr/>
      </w:pPr>
      <w:r>
        <w:rPr/>
        <w:t>Gross margin of 59.0%, up 524 basis points compared to 53.8% in the second quarter of 2025.</w:t>
      </w:r>
    </w:p>
    <w:p>
      <w:pPr>
        <w:pStyle w:val="TextBody"/>
        <w:numPr>
          <w:ilvl w:val="0"/>
          <w:numId w:val="2"/>
        </w:numPr>
        <w:tabs>
          <w:tab w:val="clear" w:pos="1134"/>
          <w:tab w:val="left" w:pos="709" w:leader="none"/>
        </w:tabs>
        <w:bidi w:val="0"/>
        <w:spacing w:before="0" w:after="120"/>
        <w:ind w:left="709" w:hanging="283"/>
        <w:jc w:val="left"/>
        <w:rPr/>
      </w:pPr>
      <w:r>
        <w:rPr/>
        <w:t xml:space="preserve">New patient starts increased by at least 10% but less than 20% sequentially versus the first quarter of 2026. </w:t>
      </w:r>
    </w:p>
    <w:p>
      <w:pPr>
        <w:pStyle w:val="TextBody"/>
        <w:numPr>
          <w:ilvl w:val="1"/>
          <w:numId w:val="2"/>
        </w:numPr>
        <w:tabs>
          <w:tab w:val="clear" w:pos="1134"/>
          <w:tab w:val="left" w:pos="1418" w:leader="none"/>
        </w:tabs>
        <w:bidi w:val="0"/>
        <w:spacing w:before="0" w:after="120"/>
        <w:ind w:left="1418" w:hanging="283"/>
        <w:jc w:val="left"/>
        <w:rPr/>
      </w:pPr>
      <w:r>
        <w:rPr/>
        <w:t>69% of new patient starts came from multiple daily injections (MDI).</w:t>
      </w:r>
    </w:p>
    <w:p>
      <w:pPr>
        <w:pStyle w:val="TextBody"/>
        <w:numPr>
          <w:ilvl w:val="1"/>
          <w:numId w:val="2"/>
        </w:numPr>
        <w:tabs>
          <w:tab w:val="clear" w:pos="1134"/>
          <w:tab w:val="left" w:pos="1418" w:leader="none"/>
        </w:tabs>
        <w:bidi w:val="0"/>
        <w:spacing w:before="0" w:after="120"/>
        <w:ind w:left="1418" w:hanging="283"/>
        <w:jc w:val="left"/>
        <w:rPr/>
      </w:pPr>
      <w:r>
        <w:rPr/>
        <w:t>High 30s percentage of new patient starts reimbursed through the PBP channel.</w:t>
      </w:r>
    </w:p>
    <w:p>
      <w:pPr>
        <w:pStyle w:val="TextBody"/>
        <w:numPr>
          <w:ilvl w:val="0"/>
          <w:numId w:val="2"/>
        </w:numPr>
        <w:tabs>
          <w:tab w:val="clear" w:pos="1134"/>
          <w:tab w:val="left" w:pos="709" w:leader="none"/>
        </w:tabs>
        <w:bidi w:val="0"/>
        <w:spacing w:before="0" w:after="120"/>
        <w:ind w:left="709" w:hanging="283"/>
        <w:jc w:val="left"/>
        <w:rPr/>
      </w:pPr>
      <w:r>
        <w:rPr/>
        <w:t>Loss from operations of $25.6 million, or negative 80% of sales, compared to $19.9 million or negative 86% of sales in the second quarter of 2025.</w:t>
      </w:r>
    </w:p>
    <w:p>
      <w:pPr>
        <w:pStyle w:val="TextBody"/>
        <w:numPr>
          <w:ilvl w:val="0"/>
          <w:numId w:val="2"/>
        </w:numPr>
        <w:tabs>
          <w:tab w:val="clear" w:pos="1134"/>
          <w:tab w:val="left" w:pos="709" w:leader="none"/>
        </w:tabs>
        <w:bidi w:val="0"/>
        <w:spacing w:before="0" w:after="120"/>
        <w:ind w:left="709" w:hanging="283"/>
        <w:jc w:val="left"/>
        <w:rPr/>
      </w:pPr>
      <w:r>
        <w:rPr/>
        <w:t>Net loss of $23.4 million, or negative 73% of sales, compared to $16.9 million or negative 73% of sales in the second quarter of 2025.</w:t>
      </w:r>
    </w:p>
    <w:p>
      <w:pPr>
        <w:pStyle w:val="TextBody"/>
        <w:numPr>
          <w:ilvl w:val="0"/>
          <w:numId w:val="2"/>
        </w:numPr>
        <w:tabs>
          <w:tab w:val="clear" w:pos="1134"/>
          <w:tab w:val="left" w:pos="709" w:leader="none"/>
        </w:tabs>
        <w:bidi w:val="0"/>
        <w:spacing w:before="0" w:after="120"/>
        <w:ind w:left="709" w:hanging="283"/>
        <w:jc w:val="left"/>
        <w:rPr/>
      </w:pPr>
      <w:r>
        <w:rPr/>
        <w:t>Adjusted EBITDA</w:t>
      </w:r>
      <w:r>
        <w:rPr>
          <w:position w:val="8"/>
          <w:sz w:val="19"/>
        </w:rPr>
        <w:t xml:space="preserve">(1) </w:t>
      </w:r>
      <w:r>
        <w:rPr/>
        <w:t>of negative $17.7 million, or negative 55% of sales, compared to negative $14.5 million or negative 63% of sales in the second quarter of 2025.</w:t>
      </w:r>
    </w:p>
    <w:p>
      <w:pPr>
        <w:pStyle w:val="TextBody"/>
        <w:numPr>
          <w:ilvl w:val="0"/>
          <w:numId w:val="2"/>
        </w:numPr>
        <w:tabs>
          <w:tab w:val="clear" w:pos="1134"/>
          <w:tab w:val="left" w:pos="709" w:leader="none"/>
        </w:tabs>
        <w:bidi w:val="0"/>
        <w:spacing w:before="0" w:after="240"/>
        <w:ind w:left="709" w:hanging="283"/>
        <w:jc w:val="left"/>
        <w:rPr/>
      </w:pPr>
      <w:r>
        <w:rPr/>
        <w:t>$225.2 million in cash, cash equivalents, short and long-term investments as of June 30, 2026.</w:t>
      </w:r>
    </w:p>
    <w:p>
      <w:pPr>
        <w:pStyle w:val="TextBody"/>
        <w:bidi w:val="0"/>
        <w:spacing w:before="0" w:after="283"/>
        <w:jc w:val="left"/>
        <w:rPr/>
      </w:pPr>
      <w:r>
        <w:rPr>
          <w:position w:val="8"/>
          <w:sz w:val="19"/>
        </w:rPr>
        <w:t xml:space="preserve">(1) </w:t>
      </w:r>
      <w:r>
        <w:rPr/>
        <w:t>See “Non-GAAP Financial Measures” below for additional information. A reconciliation of the non-GAAP financial measure to its most directly comparable GAAP financial measure can be found in Table D.</w:t>
      </w:r>
    </w:p>
    <w:p>
      <w:pPr>
        <w:pStyle w:val="TextBody"/>
        <w:bidi w:val="0"/>
        <w:spacing w:before="0" w:after="283"/>
        <w:jc w:val="left"/>
        <w:rPr/>
      </w:pPr>
      <w:r>
        <w:rPr>
          <w:rStyle w:val="StrongEmphasis"/>
        </w:rPr>
        <w:t>Recent Strategic Highlights</w:t>
      </w:r>
    </w:p>
    <w:p>
      <w:pPr>
        <w:pStyle w:val="TextBody"/>
        <w:numPr>
          <w:ilvl w:val="0"/>
          <w:numId w:val="3"/>
        </w:numPr>
        <w:tabs>
          <w:tab w:val="clear" w:pos="1134"/>
          <w:tab w:val="left" w:pos="709" w:leader="none"/>
        </w:tabs>
        <w:bidi w:val="0"/>
        <w:spacing w:before="0" w:after="120"/>
        <w:ind w:left="709" w:hanging="283"/>
        <w:jc w:val="left"/>
        <w:rPr/>
      </w:pPr>
      <w:r>
        <w:rPr/>
        <w:t xml:space="preserve">In July, initiated enrollment for a pivotal trial studying the iLet in adults with type 2 diabetes in the U.S. </w:t>
      </w:r>
    </w:p>
    <w:p>
      <w:pPr>
        <w:pStyle w:val="TextBody"/>
        <w:numPr>
          <w:ilvl w:val="1"/>
          <w:numId w:val="3"/>
        </w:numPr>
        <w:tabs>
          <w:tab w:val="clear" w:pos="1134"/>
          <w:tab w:val="left" w:pos="1418" w:leader="none"/>
        </w:tabs>
        <w:bidi w:val="0"/>
        <w:spacing w:before="0" w:after="120"/>
        <w:ind w:left="1418" w:hanging="283"/>
        <w:jc w:val="left"/>
        <w:rPr/>
      </w:pPr>
      <w:r>
        <w:rPr/>
        <w:t>Beta Bionics expects to expand iLet’s indications for use to adults with type 2 diabetes in the U.S. around mid-year 2027, subject to regulatory clearance by the FDA.</w:t>
      </w:r>
    </w:p>
    <w:p>
      <w:pPr>
        <w:pStyle w:val="TextBody"/>
        <w:numPr>
          <w:ilvl w:val="0"/>
          <w:numId w:val="3"/>
        </w:numPr>
        <w:tabs>
          <w:tab w:val="clear" w:pos="1134"/>
          <w:tab w:val="left" w:pos="709" w:leader="none"/>
        </w:tabs>
        <w:bidi w:val="0"/>
        <w:spacing w:before="0" w:after="120"/>
        <w:ind w:left="709" w:hanging="283"/>
        <w:jc w:val="left"/>
        <w:rPr/>
      </w:pPr>
      <w:r>
        <w:rPr/>
        <w:t xml:space="preserve">Announced updated expectations to fully commercialize Mint, Beta Bionics’ patch pump in development, by the end of the second quarter of 2027, subject to regulatory clearance by the U.S. Food and Drug Administration (FDA). </w:t>
      </w:r>
    </w:p>
    <w:p>
      <w:pPr>
        <w:pStyle w:val="TextBody"/>
        <w:numPr>
          <w:ilvl w:val="1"/>
          <w:numId w:val="3"/>
        </w:numPr>
        <w:tabs>
          <w:tab w:val="clear" w:pos="1134"/>
          <w:tab w:val="left" w:pos="1418" w:leader="none"/>
        </w:tabs>
        <w:bidi w:val="0"/>
        <w:spacing w:before="0" w:after="120"/>
        <w:ind w:left="1418" w:hanging="283"/>
        <w:jc w:val="left"/>
        <w:rPr/>
      </w:pPr>
      <w:r>
        <w:rPr/>
        <w:t>The company expects Mint manufacturing capacity to meet anticipated demand at full launch.</w:t>
      </w:r>
    </w:p>
    <w:p>
      <w:pPr>
        <w:pStyle w:val="TextBody"/>
        <w:numPr>
          <w:ilvl w:val="0"/>
          <w:numId w:val="3"/>
        </w:numPr>
        <w:tabs>
          <w:tab w:val="clear" w:pos="1134"/>
          <w:tab w:val="left" w:pos="709" w:leader="none"/>
        </w:tabs>
        <w:bidi w:val="0"/>
        <w:spacing w:before="0" w:after="120"/>
        <w:ind w:left="709" w:hanging="283"/>
        <w:jc w:val="left"/>
        <w:rPr/>
      </w:pPr>
      <w:r>
        <w:rPr/>
        <w:t>Published a near real-time real-world data dashboard publicly available on the company’s website, setting a new standard for data transparency in the Automated Insulin Delivery category.</w:t>
      </w:r>
    </w:p>
    <w:p>
      <w:pPr>
        <w:pStyle w:val="TextBody"/>
        <w:numPr>
          <w:ilvl w:val="0"/>
          <w:numId w:val="3"/>
        </w:numPr>
        <w:tabs>
          <w:tab w:val="clear" w:pos="1134"/>
          <w:tab w:val="left" w:pos="709" w:leader="none"/>
        </w:tabs>
        <w:bidi w:val="0"/>
        <w:spacing w:before="0" w:after="288"/>
        <w:ind w:left="709" w:hanging="283"/>
        <w:jc w:val="left"/>
        <w:rPr/>
      </w:pPr>
      <w:r>
        <w:rPr/>
        <w:t>In its most recent Phase 2a feasibility trial in New Zealand initiated in the first quarter of 2026 for the bihormonal system in development, the company identified opportunities to improve the glucagon asset’s excipient profile and the bihormonal dosing algorithm, with improvements expected to take less than one year prior to initiating additional feasibility trials.</w:t>
      </w:r>
    </w:p>
    <w:p>
      <w:pPr>
        <w:pStyle w:val="TextBody"/>
        <w:bidi w:val="0"/>
        <w:spacing w:before="0" w:after="283"/>
        <w:jc w:val="left"/>
        <w:rPr/>
      </w:pPr>
      <w:r>
        <w:rPr>
          <w:rStyle w:val="StrongEmphasis"/>
        </w:rPr>
        <w:t>2026 Full Year Guidance</w:t>
      </w:r>
    </w:p>
    <w:p>
      <w:pPr>
        <w:pStyle w:val="TextBody"/>
        <w:numPr>
          <w:ilvl w:val="0"/>
          <w:numId w:val="4"/>
        </w:numPr>
        <w:tabs>
          <w:tab w:val="clear" w:pos="1134"/>
          <w:tab w:val="left" w:pos="709" w:leader="none"/>
        </w:tabs>
        <w:bidi w:val="0"/>
        <w:spacing w:before="0" w:after="120"/>
        <w:ind w:left="709" w:hanging="283"/>
        <w:jc w:val="left"/>
        <w:rPr/>
      </w:pPr>
      <w:r>
        <w:rPr/>
        <w:t>Estimated total revenue of approximately $131 million to $136 million (no change versus previous guidance).</w:t>
      </w:r>
    </w:p>
    <w:p>
      <w:pPr>
        <w:pStyle w:val="TextBody"/>
        <w:numPr>
          <w:ilvl w:val="0"/>
          <w:numId w:val="4"/>
        </w:numPr>
        <w:tabs>
          <w:tab w:val="clear" w:pos="1134"/>
          <w:tab w:val="left" w:pos="709" w:leader="none"/>
        </w:tabs>
        <w:bidi w:val="0"/>
        <w:spacing w:before="0" w:after="120"/>
        <w:ind w:left="709" w:hanging="283"/>
        <w:jc w:val="left"/>
        <w:rPr/>
      </w:pPr>
      <w:r>
        <w:rPr/>
        <w:t>Estimated 37% to 39% of new patient starts reimbursed through the PBP channel (no change versus previous guidance).</w:t>
      </w:r>
    </w:p>
    <w:p>
      <w:pPr>
        <w:pStyle w:val="TextBody"/>
        <w:numPr>
          <w:ilvl w:val="0"/>
          <w:numId w:val="4"/>
        </w:numPr>
        <w:tabs>
          <w:tab w:val="clear" w:pos="1134"/>
          <w:tab w:val="left" w:pos="709" w:leader="none"/>
        </w:tabs>
        <w:bidi w:val="0"/>
        <w:spacing w:before="0" w:after="240"/>
        <w:ind w:left="709" w:hanging="283"/>
        <w:jc w:val="left"/>
        <w:rPr/>
      </w:pPr>
      <w:r>
        <w:rPr/>
        <w:t>Estimated gross margin of 58.5% to 59.5% (previously 57.5% to 59.5%).</w:t>
      </w:r>
    </w:p>
    <w:p>
      <w:pPr>
        <w:pStyle w:val="TextBody"/>
        <w:bidi w:val="0"/>
        <w:spacing w:before="0" w:after="283"/>
        <w:jc w:val="left"/>
        <w:rPr/>
      </w:pPr>
      <w:r>
        <w:rPr>
          <w:rStyle w:val="StrongEmphasis"/>
        </w:rPr>
        <w:t>Webcast &amp; Conference Call Details</w:t>
      </w:r>
    </w:p>
    <w:p>
      <w:pPr>
        <w:pStyle w:val="TextBody"/>
        <w:bidi w:val="0"/>
        <w:spacing w:before="0" w:after="283"/>
        <w:jc w:val="left"/>
        <w:rPr/>
      </w:pPr>
      <w:r>
        <w:rPr/>
        <w:t>Beta Bionics will host a conference call and concurrent webcast today at 4:30 pm Eastern Time (1:30 pm Pacific Time), to review the company’s second quarter 2026 performance. The link to the webcast will be available on the Company’s website in the “Investors—Events &amp; Presentations” section at https://investors.betabionics.com, and will be archived there for future replay. To access the live call by phone, please use the following link, which will provide you with dial-in details and a personal pin: https://register-conf.media-server.com/register/BI3bd9f03fbd0f42bcb9f566c242240033</w:t>
      </w:r>
    </w:p>
    <w:p>
      <w:pPr>
        <w:pStyle w:val="TextBody"/>
        <w:bidi w:val="0"/>
        <w:spacing w:before="0" w:after="283"/>
        <w:jc w:val="left"/>
        <w:rPr/>
      </w:pPr>
      <w:r>
        <w:rPr>
          <w:rStyle w:val="StrongEmphasis"/>
        </w:rPr>
        <w:t>Non-GAAP Financial Measures</w:t>
      </w:r>
    </w:p>
    <w:p>
      <w:pPr>
        <w:pStyle w:val="TextBody"/>
        <w:bidi w:val="0"/>
        <w:spacing w:before="0" w:after="283"/>
        <w:jc w:val="left"/>
        <w:rPr/>
      </w:pPr>
      <w:r>
        <w:rPr/>
        <w:t>Beta Bionics, Inc. (the “Company”) prepares and presents the Company’s financial statements in accordance with U.S. Generally Accepted Accounting Principles (GAAP). The Company believes adjusted EBITDA as a non-GAAP measure is useful in evaluating the Company’s operating performance and uses adjusted EBITDA to evaluate ongoing operations and for internal planning and forecasting purposes. The Company believes that this non-GAAP financial measure, when taken together with the corresponding GAAP financial measures, provide meaningful supplemental information regarding the Company’s performance by excluding certain items that may not be indicative of the Company’s business, results of operations, or outlook.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the Company’s industry, may calculate similarly-titled non-GAAP measures differently or may use other measures to evaluate their performance, all of which could reduce the usefulness of the Company’s non-GAAP financial measures as tools for comparison. A reconciliation is provided below for adjusted EBITDA to the most directly comparable financial measure stated in accordance with GAAP in Table D below.</w:t>
      </w:r>
    </w:p>
    <w:p>
      <w:pPr>
        <w:pStyle w:val="TextBody"/>
        <w:bidi w:val="0"/>
        <w:spacing w:before="0" w:after="283"/>
        <w:jc w:val="left"/>
        <w:rPr/>
      </w:pPr>
      <w:r>
        <w:rPr/>
        <w:t>The Company calculates adjusted EBITDA as net loss adjusted to exclude (i) depreciation expense, (ii) stock-based compensation expense, (iii) interest income, (iv) income tax expense, (v) change in fair value of warrant liabilities, (vi) litigation settlement and other related expense, and (vii) quality system remediation (previously labeled “Other non-recurring” in the Form 10-K for the year ended December 31, 2025), which relates to one-time remediation efforts in response to the FDA Form 483 and Warning Letter, including contractor support and various updates to the quality system.</w:t>
      </w:r>
    </w:p>
    <w:p>
      <w:pPr>
        <w:pStyle w:val="TextBody"/>
        <w:bidi w:val="0"/>
        <w:spacing w:before="0" w:after="283"/>
        <w:jc w:val="left"/>
        <w:rPr/>
      </w:pPr>
      <w:r>
        <w:rPr/>
        <w:t>Some of the limitations of adjusted EBITDA include: (i) adjusted EBITDA does not properly reflect capital commitments to be paid in the future and (ii) although depreciation and amortization expense are non-cash charges, the underlying assets may need to be replaced and adjusted EBITDA does not reflect these capital expenditures. The Company’s adjusted EBITDA may not be comparable to similarly titled measures of other companies because they may not calculate adjusted EBITDA in the same manner as the Company calculates the measure, limiting its usefulness as a comparative measure. In evaluating adjusted EBITDA, you should be aware that in the future the Company will incur expenses similar to the adjustments in this presentation. The Company’s presentation of adjusted EBITDA should not be construed as an inference that the Company’s future results will be unaffected by these expenses or any unusual or non-recurring items. When evaluating the Company’s performance, you should consider adjusted EBITDA alongside other financial performance measures, including the Company’s net loss and other GAAP results.</w:t>
      </w:r>
    </w:p>
    <w:p>
      <w:pPr>
        <w:pStyle w:val="TextBody"/>
        <w:bidi w:val="0"/>
        <w:spacing w:before="0" w:after="283"/>
        <w:jc w:val="left"/>
        <w:rPr/>
      </w:pPr>
      <w:r>
        <w:rPr/>
        <w:t>Investors are encouraged to review the related GAAP financial measures and the reconciliation of this non-GAAP financial measure to its most directly comparable GAAP financial measure, and not to rely on any single financial measure to evaluate the Company’s business. This non-GAAP measure has limitations as an analytical tool and should not be construed as an inference that the Company’s future results will be unaffected by unusual or non-recurring items. Therefore, this non-GAAP financial measure should be considered in addition to, not as a substitute for, or in isolation from, measures prepared in accordance with GAAP.</w:t>
      </w:r>
    </w:p>
    <w:p>
      <w:pPr>
        <w:pStyle w:val="TextBody"/>
        <w:bidi w:val="0"/>
        <w:spacing w:before="0" w:after="283"/>
        <w:jc w:val="left"/>
        <w:rPr/>
      </w:pPr>
      <w:r>
        <w:rPr>
          <w:rStyle w:val="StrongEmphasis"/>
        </w:rPr>
        <w:t>About Beta Bionics</w:t>
      </w:r>
    </w:p>
    <w:p>
      <w:pPr>
        <w:pStyle w:val="TextBody"/>
        <w:bidi w:val="0"/>
        <w:spacing w:before="0" w:after="283"/>
        <w:jc w:val="left"/>
        <w:rPr/>
      </w:pPr>
      <w:r>
        <w:rPr/>
        <w:t>Beta Bionics, Inc. is a commercial-stage medical device company engaged in the design, development, and commercialization of innovative solutions to improve the health and quality of life of insulin-requiring people with diabetes (PWD) by utilizing advanced adaptive closed-loop algorithms to simplify and improve the treatment of their disease. The iLet Bionic Pancreas is the first FDA-cleared insulin delivery device that autonomously determines every insulin dose and offers the potential to substantially improve overall outcomes across broad populations of PWD. To learn more, visit www.betabionics.com.</w:t>
      </w:r>
    </w:p>
    <w:p>
      <w:pPr>
        <w:pStyle w:val="TextBody"/>
        <w:bidi w:val="0"/>
        <w:spacing w:before="0" w:after="283"/>
        <w:jc w:val="left"/>
        <w:rPr/>
      </w:pPr>
      <w:r>
        <w:rPr>
          <w:rStyle w:val="StrongEmphasis"/>
        </w:rPr>
        <w:t>Forward-Looking Statements</w:t>
      </w:r>
    </w:p>
    <w:p>
      <w:pPr>
        <w:pStyle w:val="TextBody"/>
        <w:bidi w:val="0"/>
        <w:spacing w:before="0" w:after="283"/>
        <w:jc w:val="left"/>
        <w:rPr/>
      </w:pPr>
      <w:r>
        <w:rPr/>
        <w:t>This press release contains forward-looking statements within the meaning of the Private Securities Litigation Reform Act of 1995. Statements in this press release that are not statements of historical fact are forward-looking statements. Such forward-looking statements include, without limitation, statements regarding: expectations of Beta Bionics, Inc. (the “Company”) regarding its clinical and regulatory development plans for the iLet and other product candidates; the markets and market opportunities for the iLet, Mint, the bihormonal system and other product candidates, if approved; the timing, likelihood or success of its business strategy, including commercialization as well as plans and objectives of management for future operations; its anticipated growth and other measures of future operating results and financial performance, including 2026 full year guidance regarding estimates of revenue, new patient starts reimbursed through the PBP channel and gross margin; the design, results, and timing of its research and development efforts and planned trials for the iLet in adults with type 2 diabetes; the design, results and timing of its research and development efforts and feasibility trials for the bihormonal system in development, including the expected timelines with respect to improvements to the glucagon asset’s excipient profile and the bihormonal dosing algorithm; and the timing or certainty of the FDA’s approval of Mint, the timing or certainty of the commercialization of Mint and related updates and the Company’s manufacturing capacity at launch. Words such as “believe,” “anticipate,” “plan,” “expect,” “intend,” “will,” “may,” “goal,” “potential” and similar expressions are intended to identify forward-looking statements, though not all forward-looking statements necessarily contain these identifying words. These forward-looking statements are based on the beliefs of the management of the Company as well as assumptions made by and information currently available to the Company. Such statements reflect the current views of the Company with respect to future events and are subject to known and unknown risks and uncertainties, including business, regulatory, economic and competitive risks and uncertainties about the Company, including, without limitation, risks inherent in developing product candidates, future results from the Company’s ongoing and future studies and clinical trials, the Company’s ability to obtain adequate financing to fund its product development and other expenses, risks that real-world data or future results may not be consistent with interim, initial or preliminary results or results from prior preclinical studies or clinical trials, trends in the industry, the Company’s relationships with its existing and future collaboration partners, the legal and regulatory framework for the industry, future expenditures and the potential impacts of global macroeconomic conditions. In light of these risks and uncertainties, the events or circumstances referred to in the forward-looking statements may not occur. The actual results may vary from the anticipated results and the variations may be material. Other factors that may cause the Company’s actual results to differ from current expectations are discussed in the Company’s filings with the Securities and Exchange Commission, including the section titled “Risk Factors” in the Company’s Quarterly Report on Form 10-Q for the quarter ended June 30, 2026. You are cautioned not to place undue reliance on these forward-looking statements, which speak only as of the date this press release is given. Except as required by law, the Company undertakes no obligation to publicly update any forward-looking statements, whether as a result of new information, future events or otherwise.</w:t>
      </w:r>
    </w:p>
    <w:tbl>
      <w:tblPr>
        <w:tblW w:w="10205" w:type="dxa"/>
        <w:jc w:val="left"/>
        <w:tblInd w:w="0" w:type="dxa"/>
        <w:tblLayout w:type="fixed"/>
        <w:tblCellMar>
          <w:top w:w="28" w:type="dxa"/>
          <w:left w:w="28" w:type="dxa"/>
          <w:bottom w:w="28" w:type="dxa"/>
          <w:right w:w="28" w:type="dxa"/>
        </w:tblCellMar>
      </w:tblPr>
      <w:tblGrid>
        <w:gridCol w:w="3188"/>
        <w:gridCol w:w="164"/>
        <w:gridCol w:w="283"/>
        <w:gridCol w:w="1054"/>
        <w:gridCol w:w="339"/>
        <w:gridCol w:w="164"/>
        <w:gridCol w:w="261"/>
        <w:gridCol w:w="975"/>
        <w:gridCol w:w="314"/>
        <w:gridCol w:w="152"/>
        <w:gridCol w:w="235"/>
        <w:gridCol w:w="1002"/>
        <w:gridCol w:w="314"/>
        <w:gridCol w:w="152"/>
        <w:gridCol w:w="235"/>
        <w:gridCol w:w="1003"/>
        <w:gridCol w:w="370"/>
      </w:tblGrid>
      <w:tr>
        <w:trPr/>
        <w:tc>
          <w:tcPr>
            <w:tcW w:w="10205" w:type="dxa"/>
            <w:gridSpan w:val="17"/>
            <w:tcBorders/>
            <w:vAlign w:val="center"/>
          </w:tcPr>
          <w:p>
            <w:pPr>
              <w:pStyle w:val="TableContents"/>
              <w:bidi w:val="0"/>
              <w:spacing w:before="0" w:after="283"/>
              <w:jc w:val="center"/>
              <w:rPr/>
            </w:pPr>
            <w:r>
              <w:rPr>
                <w:rStyle w:val="StrongEmphasis"/>
              </w:rPr>
              <w:t>Beta Bionics, Inc.</w:t>
            </w:r>
          </w:p>
        </w:tc>
      </w:tr>
      <w:tr>
        <w:trPr/>
        <w:tc>
          <w:tcPr>
            <w:tcW w:w="10205" w:type="dxa"/>
            <w:gridSpan w:val="17"/>
            <w:tcBorders/>
            <w:vAlign w:val="center"/>
          </w:tcPr>
          <w:p>
            <w:pPr>
              <w:pStyle w:val="TableContents"/>
              <w:bidi w:val="0"/>
              <w:spacing w:before="0" w:after="283"/>
              <w:jc w:val="center"/>
              <w:rPr/>
            </w:pPr>
            <w:r>
              <w:rPr>
                <w:rStyle w:val="StrongEmphasis"/>
              </w:rPr>
              <w:t>Statements of Operations and Comprehensive Loss (unaudited)</w:t>
            </w:r>
          </w:p>
        </w:tc>
      </w:tr>
      <w:tr>
        <w:trPr/>
        <w:tc>
          <w:tcPr>
            <w:tcW w:w="10205" w:type="dxa"/>
            <w:gridSpan w:val="17"/>
            <w:tcBorders/>
            <w:vAlign w:val="center"/>
          </w:tcPr>
          <w:p>
            <w:pPr>
              <w:pStyle w:val="TableContents"/>
              <w:bidi w:val="0"/>
              <w:spacing w:before="0" w:after="283"/>
              <w:jc w:val="center"/>
              <w:rPr/>
            </w:pPr>
            <w:r>
              <w:rPr>
                <w:rStyle w:val="StrongEmphasis"/>
              </w:rPr>
              <w:t>Table A</w:t>
            </w:r>
          </w:p>
        </w:tc>
      </w:tr>
      <w:tr>
        <w:trPr/>
        <w:tc>
          <w:tcPr>
            <w:tcW w:w="3188" w:type="dxa"/>
            <w:tcBorders/>
            <w:vAlign w:val="center"/>
          </w:tcPr>
          <w:p>
            <w:pPr>
              <w:pStyle w:val="TableContents"/>
              <w:bidi w:val="0"/>
              <w:spacing w:before="0" w:after="283"/>
              <w:jc w:val="center"/>
              <w:rPr/>
            </w:pPr>
            <w:r>
              <w:rPr/>
              <w:t> </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3390" w:type="dxa"/>
            <w:gridSpan w:val="7"/>
            <w:tcBorders/>
            <w:vAlign w:val="center"/>
          </w:tcPr>
          <w:p>
            <w:pPr>
              <w:pStyle w:val="TableContents"/>
              <w:bidi w:val="0"/>
              <w:spacing w:before="0" w:after="283"/>
              <w:jc w:val="center"/>
              <w:rPr/>
            </w:pPr>
            <w:r>
              <w:rPr>
                <w:rStyle w:val="StrongEmphasis"/>
              </w:rPr>
              <w:t xml:space="preserve">Three Months Ended </w:t>
            </w:r>
          </w:p>
        </w:tc>
        <w:tc>
          <w:tcPr>
            <w:tcW w:w="152" w:type="dxa"/>
            <w:tcBorders/>
            <w:vAlign w:val="center"/>
          </w:tcPr>
          <w:p>
            <w:pPr>
              <w:pStyle w:val="TableContents"/>
              <w:bidi w:val="0"/>
              <w:spacing w:before="0" w:after="283"/>
              <w:jc w:val="center"/>
              <w:rPr/>
            </w:pPr>
            <w:r>
              <w:rPr/>
              <w:t> </w:t>
            </w:r>
          </w:p>
        </w:tc>
        <w:tc>
          <w:tcPr>
            <w:tcW w:w="3311" w:type="dxa"/>
            <w:gridSpan w:val="7"/>
            <w:tcBorders/>
            <w:vAlign w:val="center"/>
          </w:tcPr>
          <w:p>
            <w:pPr>
              <w:pStyle w:val="TableContents"/>
              <w:bidi w:val="0"/>
              <w:spacing w:before="0" w:after="283"/>
              <w:jc w:val="center"/>
              <w:rPr/>
            </w:pPr>
            <w:r>
              <w:rPr>
                <w:rStyle w:val="StrongEmphasis"/>
              </w:rPr>
              <w:t xml:space="preserve">Six Months Ended </w:t>
            </w:r>
          </w:p>
        </w:tc>
      </w:tr>
      <w:tr>
        <w:trPr/>
        <w:tc>
          <w:tcPr>
            <w:tcW w:w="3188" w:type="dxa"/>
            <w:vMerge w:val="restart"/>
            <w:tcBorders/>
            <w:vAlign w:val="center"/>
          </w:tcPr>
          <w:p>
            <w:pPr>
              <w:pStyle w:val="TableContents"/>
              <w:bidi w:val="0"/>
              <w:spacing w:before="0" w:after="283"/>
              <w:jc w:val="left"/>
              <w:rPr/>
            </w:pPr>
            <w:r>
              <w:rPr>
                <w:rStyle w:val="StrongEmphasis"/>
              </w:rPr>
              <w:t>(In thousands, except number of shares and per share data)</w:t>
            </w:r>
          </w:p>
        </w:tc>
        <w:tc>
          <w:tcPr>
            <w:tcW w:w="164" w:type="dxa"/>
            <w:tcBorders/>
            <w:vAlign w:val="center"/>
          </w:tcPr>
          <w:p>
            <w:pPr>
              <w:pStyle w:val="TableContents"/>
              <w:bidi w:val="0"/>
              <w:spacing w:before="0" w:after="283"/>
              <w:jc w:val="left"/>
              <w:rPr/>
            </w:pPr>
            <w:r>
              <w:rPr/>
              <w:t> </w:t>
            </w:r>
          </w:p>
        </w:tc>
        <w:tc>
          <w:tcPr>
            <w:tcW w:w="3390"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w:t>
            </w:r>
          </w:p>
        </w:tc>
        <w:tc>
          <w:tcPr>
            <w:tcW w:w="152" w:type="dxa"/>
            <w:tcBorders/>
            <w:vAlign w:val="center"/>
          </w:tcPr>
          <w:p>
            <w:pPr>
              <w:pStyle w:val="TableContents"/>
              <w:bidi w:val="0"/>
              <w:spacing w:before="0" w:after="283"/>
              <w:jc w:val="center"/>
              <w:rPr/>
            </w:pPr>
            <w:r>
              <w:rPr/>
              <w:t> </w:t>
            </w:r>
          </w:p>
        </w:tc>
        <w:tc>
          <w:tcPr>
            <w:tcW w:w="3311"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w:t>
            </w:r>
          </w:p>
        </w:tc>
      </w:tr>
      <w:tr>
        <w:trPr/>
        <w:tc>
          <w:tcPr>
            <w:tcW w:w="3188" w:type="dxa"/>
            <w:vMerge w:val="continue"/>
            <w:tcBorders/>
            <w:vAlign w:val="center"/>
          </w:tcPr>
          <w:p>
            <w:pPr>
              <w:pStyle w:val="Normal"/>
              <w:bidi w:val="0"/>
              <w:jc w:val="left"/>
              <w:rPr/>
            </w:pPr>
            <w:r>
              <w:rPr/>
            </w:r>
          </w:p>
        </w:tc>
        <w:tc>
          <w:tcPr>
            <w:tcW w:w="164" w:type="dxa"/>
            <w:tcBorders/>
            <w:vAlign w:val="center"/>
          </w:tcPr>
          <w:p>
            <w:pPr>
              <w:pStyle w:val="TableContents"/>
              <w:bidi w:val="0"/>
              <w:spacing w:before="0" w:after="283"/>
              <w:jc w:val="center"/>
              <w:rPr/>
            </w:pPr>
            <w:r>
              <w:rPr/>
              <w:t> </w:t>
            </w:r>
          </w:p>
        </w:tc>
        <w:tc>
          <w:tcPr>
            <w:tcW w:w="167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64" w:type="dxa"/>
            <w:tcBorders/>
            <w:vAlign w:val="center"/>
          </w:tcPr>
          <w:p>
            <w:pPr>
              <w:pStyle w:val="TableContents"/>
              <w:bidi w:val="0"/>
              <w:spacing w:before="0" w:after="283"/>
              <w:jc w:val="center"/>
              <w:rPr/>
            </w:pPr>
            <w:r>
              <w:rPr/>
              <w:t> </w:t>
            </w:r>
          </w:p>
        </w:tc>
        <w:tc>
          <w:tcPr>
            <w:tcW w:w="155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52" w:type="dxa"/>
            <w:tcBorders/>
            <w:vAlign w:val="center"/>
          </w:tcPr>
          <w:p>
            <w:pPr>
              <w:pStyle w:val="TableContents"/>
              <w:bidi w:val="0"/>
              <w:spacing w:before="0" w:after="283"/>
              <w:jc w:val="center"/>
              <w:rPr/>
            </w:pPr>
            <w:r>
              <w:rPr/>
              <w:t> </w:t>
            </w:r>
          </w:p>
        </w:tc>
        <w:tc>
          <w:tcPr>
            <w:tcW w:w="15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52" w:type="dxa"/>
            <w:tcBorders/>
            <w:vAlign w:val="center"/>
          </w:tcPr>
          <w:p>
            <w:pPr>
              <w:pStyle w:val="TableContents"/>
              <w:bidi w:val="0"/>
              <w:spacing w:before="0" w:after="283"/>
              <w:jc w:val="center"/>
              <w:rPr/>
            </w:pPr>
            <w:r>
              <w:rPr/>
              <w:t> </w:t>
            </w:r>
          </w:p>
        </w:tc>
        <w:tc>
          <w:tcPr>
            <w:tcW w:w="160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r>
      <w:tr>
        <w:trPr/>
        <w:tc>
          <w:tcPr>
            <w:tcW w:w="3188" w:type="dxa"/>
            <w:tcBorders/>
            <w:vAlign w:val="center"/>
          </w:tcPr>
          <w:p>
            <w:pPr>
              <w:pStyle w:val="TableContents"/>
              <w:bidi w:val="0"/>
              <w:spacing w:before="0" w:after="283"/>
              <w:jc w:val="center"/>
              <w:rPr/>
            </w:pPr>
            <w:r>
              <w:rPr/>
              <w:t> </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Net sales</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jc w:val="right"/>
              <w:rPr/>
            </w:pPr>
            <w:r>
              <w:rPr/>
              <w:t>32,013</w:t>
            </w:r>
          </w:p>
        </w:tc>
        <w:tc>
          <w:tcPr>
            <w:tcW w:w="339"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rStyle w:val="StrongEmphasis"/>
              </w:rPr>
              <w:t> </w:t>
            </w:r>
          </w:p>
        </w:tc>
        <w:tc>
          <w:tcPr>
            <w:tcW w:w="261" w:type="dxa"/>
            <w:tcBorders/>
            <w:vAlign w:val="center"/>
          </w:tcPr>
          <w:p>
            <w:pPr>
              <w:pStyle w:val="TableContents"/>
              <w:bidi w:val="0"/>
              <w:spacing w:before="0" w:after="283"/>
              <w:jc w:val="left"/>
              <w:rPr/>
            </w:pPr>
            <w:r>
              <w:rPr/>
              <w:t>$</w:t>
            </w:r>
          </w:p>
        </w:tc>
        <w:tc>
          <w:tcPr>
            <w:tcW w:w="975" w:type="dxa"/>
            <w:tcBorders/>
            <w:vAlign w:val="center"/>
          </w:tcPr>
          <w:p>
            <w:pPr>
              <w:pStyle w:val="TableContents"/>
              <w:bidi w:val="0"/>
              <w:spacing w:before="0" w:after="283"/>
              <w:jc w:val="right"/>
              <w:rPr/>
            </w:pPr>
            <w:r>
              <w:rPr/>
              <w:t>23,238</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rStyle w:val="StrongEmphasis"/>
              </w:rPr>
              <w:t> </w:t>
            </w:r>
          </w:p>
        </w:tc>
        <w:tc>
          <w:tcPr>
            <w:tcW w:w="235" w:type="dxa"/>
            <w:tcBorders/>
            <w:vAlign w:val="center"/>
          </w:tcPr>
          <w:p>
            <w:pPr>
              <w:pStyle w:val="TableContents"/>
              <w:bidi w:val="0"/>
              <w:spacing w:before="0" w:after="283"/>
              <w:jc w:val="left"/>
              <w:rPr/>
            </w:pPr>
            <w:r>
              <w:rPr/>
              <w:t>$</w:t>
            </w:r>
          </w:p>
        </w:tc>
        <w:tc>
          <w:tcPr>
            <w:tcW w:w="1002" w:type="dxa"/>
            <w:tcBorders/>
            <w:vAlign w:val="center"/>
          </w:tcPr>
          <w:p>
            <w:pPr>
              <w:pStyle w:val="TableContents"/>
              <w:bidi w:val="0"/>
              <w:spacing w:before="0" w:after="283"/>
              <w:jc w:val="right"/>
              <w:rPr/>
            </w:pPr>
            <w:r>
              <w:rPr/>
              <w:t>59,639</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rStyle w:val="StrongEmphasis"/>
              </w:rPr>
              <w:t> </w:t>
            </w:r>
          </w:p>
        </w:tc>
        <w:tc>
          <w:tcPr>
            <w:tcW w:w="235" w:type="dxa"/>
            <w:tcBorders/>
            <w:vAlign w:val="center"/>
          </w:tcPr>
          <w:p>
            <w:pPr>
              <w:pStyle w:val="TableContents"/>
              <w:bidi w:val="0"/>
              <w:spacing w:before="0" w:after="283"/>
              <w:jc w:val="left"/>
              <w:rPr/>
            </w:pPr>
            <w:r>
              <w:rPr/>
              <w:t>$</w:t>
            </w:r>
          </w:p>
        </w:tc>
        <w:tc>
          <w:tcPr>
            <w:tcW w:w="1003" w:type="dxa"/>
            <w:tcBorders/>
            <w:vAlign w:val="center"/>
          </w:tcPr>
          <w:p>
            <w:pPr>
              <w:pStyle w:val="TableContents"/>
              <w:bidi w:val="0"/>
              <w:spacing w:before="0" w:after="283"/>
              <w:jc w:val="right"/>
              <w:rPr/>
            </w:pPr>
            <w:r>
              <w:rPr/>
              <w:t>40,877</w:t>
            </w:r>
          </w:p>
        </w:tc>
        <w:tc>
          <w:tcPr>
            <w:tcW w:w="370" w:type="dxa"/>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Cost of sales</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13,111</w:t>
            </w:r>
          </w:p>
        </w:tc>
        <w:tc>
          <w:tcPr>
            <w:tcW w:w="339"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10,735</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24,300</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19,403</w:t>
            </w:r>
          </w:p>
        </w:tc>
        <w:tc>
          <w:tcPr>
            <w:tcW w:w="370" w:type="dxa"/>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rStyle w:val="StrongEmphasis"/>
              </w:rPr>
              <w:t>Gross profit</w:t>
            </w:r>
          </w:p>
        </w:tc>
        <w:tc>
          <w:tcPr>
            <w:tcW w:w="164" w:type="dxa"/>
            <w:tcBorders/>
            <w:vAlign w:val="center"/>
          </w:tcPr>
          <w:p>
            <w:pPr>
              <w:pStyle w:val="TableContents"/>
              <w:bidi w:val="0"/>
              <w:spacing w:before="0" w:after="283"/>
              <w:jc w:val="left"/>
              <w:rPr/>
            </w:pPr>
            <w:r>
              <w:rPr>
                <w:rStyle w:val="StrongEmphasis"/>
              </w:rPr>
              <w:t> </w:t>
            </w:r>
          </w:p>
        </w:tc>
        <w:tc>
          <w:tcPr>
            <w:tcW w:w="28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 </w:t>
            </w:r>
          </w:p>
        </w:tc>
        <w:tc>
          <w:tcPr>
            <w:tcW w:w="105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 xml:space="preserve">18,902 </w:t>
            </w:r>
          </w:p>
        </w:tc>
        <w:tc>
          <w:tcPr>
            <w:tcW w:w="33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rStyle w:val="StrongEmphasis"/>
              </w:rPr>
              <w:t> </w:t>
            </w:r>
          </w:p>
        </w:tc>
        <w:tc>
          <w:tcPr>
            <w:tcW w:w="26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 </w:t>
            </w:r>
          </w:p>
        </w:tc>
        <w:tc>
          <w:tcPr>
            <w:tcW w:w="97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 xml:space="preserve">12,503 </w:t>
            </w:r>
          </w:p>
        </w:tc>
        <w:tc>
          <w:tcPr>
            <w:tcW w:w="31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rStyle w:val="StrongEmphasis"/>
              </w:rPr>
              <w:t> </w:t>
            </w:r>
          </w:p>
        </w:tc>
        <w:tc>
          <w:tcPr>
            <w:tcW w:w="23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 </w:t>
            </w:r>
          </w:p>
        </w:tc>
        <w:tc>
          <w:tcPr>
            <w:tcW w:w="100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 xml:space="preserve">35,339 </w:t>
            </w:r>
          </w:p>
        </w:tc>
        <w:tc>
          <w:tcPr>
            <w:tcW w:w="31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rStyle w:val="StrongEmphasis"/>
              </w:rPr>
              <w:t> </w:t>
            </w:r>
          </w:p>
        </w:tc>
        <w:tc>
          <w:tcPr>
            <w:tcW w:w="23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 </w:t>
            </w:r>
          </w:p>
        </w:tc>
        <w:tc>
          <w:tcPr>
            <w:tcW w:w="100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 xml:space="preserve">21,474 </w:t>
            </w:r>
          </w:p>
        </w:tc>
        <w:tc>
          <w:tcPr>
            <w:tcW w:w="37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Gross margin</w:t>
            </w:r>
          </w:p>
        </w:tc>
        <w:tc>
          <w:tcPr>
            <w:tcW w:w="164" w:type="dxa"/>
            <w:tcBorders/>
            <w:vAlign w:val="center"/>
          </w:tcPr>
          <w:p>
            <w:pPr>
              <w:pStyle w:val="TableContents"/>
              <w:bidi w:val="0"/>
              <w:spacing w:before="0" w:after="283"/>
              <w:jc w:val="left"/>
              <w:rPr/>
            </w:pPr>
            <w:r>
              <w:rPr>
                <w:rStyle w:val="StrongEmphasis"/>
              </w:rPr>
              <w:t> </w:t>
            </w:r>
          </w:p>
        </w:tc>
        <w:tc>
          <w:tcPr>
            <w:tcW w:w="283" w:type="dxa"/>
            <w:tcBorders/>
            <w:vAlign w:val="center"/>
          </w:tcPr>
          <w:p>
            <w:pPr>
              <w:pStyle w:val="TableContents"/>
              <w:bidi w:val="0"/>
              <w:spacing w:before="0" w:after="283"/>
              <w:jc w:val="left"/>
              <w:rPr/>
            </w:pPr>
            <w:r>
              <w:rPr>
                <w:rStyle w:val="StrongEmphasis"/>
              </w:rPr>
              <w:t> </w:t>
            </w:r>
          </w:p>
        </w:tc>
        <w:tc>
          <w:tcPr>
            <w:tcW w:w="1054" w:type="dxa"/>
            <w:tcBorders/>
            <w:vAlign w:val="center"/>
          </w:tcPr>
          <w:p>
            <w:pPr>
              <w:pStyle w:val="TableContents"/>
              <w:bidi w:val="0"/>
              <w:spacing w:before="0" w:after="283"/>
              <w:jc w:val="right"/>
              <w:rPr/>
            </w:pPr>
            <w:r>
              <w:rPr/>
              <w:t>59.0</w:t>
            </w:r>
          </w:p>
        </w:tc>
        <w:tc>
          <w:tcPr>
            <w:tcW w:w="33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rStyle w:val="StrongEmphasis"/>
              </w:rPr>
              <w:t> </w:t>
            </w:r>
          </w:p>
        </w:tc>
        <w:tc>
          <w:tcPr>
            <w:tcW w:w="261" w:type="dxa"/>
            <w:tcBorders/>
            <w:vAlign w:val="center"/>
          </w:tcPr>
          <w:p>
            <w:pPr>
              <w:pStyle w:val="TableContents"/>
              <w:bidi w:val="0"/>
              <w:spacing w:before="0" w:after="283"/>
              <w:jc w:val="left"/>
              <w:rPr/>
            </w:pPr>
            <w:r>
              <w:rPr>
                <w:rStyle w:val="StrongEmphasis"/>
              </w:rPr>
              <w:t> </w:t>
            </w:r>
          </w:p>
        </w:tc>
        <w:tc>
          <w:tcPr>
            <w:tcW w:w="975" w:type="dxa"/>
            <w:tcBorders/>
            <w:vAlign w:val="center"/>
          </w:tcPr>
          <w:p>
            <w:pPr>
              <w:pStyle w:val="TableContents"/>
              <w:bidi w:val="0"/>
              <w:spacing w:before="0" w:after="283"/>
              <w:jc w:val="right"/>
              <w:rPr/>
            </w:pPr>
            <w:r>
              <w:rPr/>
              <w:t>53.8</w:t>
            </w:r>
          </w:p>
        </w:tc>
        <w:tc>
          <w:tcPr>
            <w:tcW w:w="314"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rStyle w:val="StrongEmphasis"/>
              </w:rPr>
              <w:t> </w:t>
            </w:r>
          </w:p>
        </w:tc>
        <w:tc>
          <w:tcPr>
            <w:tcW w:w="235" w:type="dxa"/>
            <w:tcBorders/>
            <w:vAlign w:val="center"/>
          </w:tcPr>
          <w:p>
            <w:pPr>
              <w:pStyle w:val="TableContents"/>
              <w:bidi w:val="0"/>
              <w:spacing w:before="0" w:after="283"/>
              <w:jc w:val="left"/>
              <w:rPr/>
            </w:pPr>
            <w:r>
              <w:rPr>
                <w:rStyle w:val="StrongEmphasis"/>
              </w:rPr>
              <w:t> </w:t>
            </w:r>
          </w:p>
        </w:tc>
        <w:tc>
          <w:tcPr>
            <w:tcW w:w="1002" w:type="dxa"/>
            <w:tcBorders/>
            <w:vAlign w:val="center"/>
          </w:tcPr>
          <w:p>
            <w:pPr>
              <w:pStyle w:val="TableContents"/>
              <w:bidi w:val="0"/>
              <w:spacing w:before="0" w:after="283"/>
              <w:jc w:val="right"/>
              <w:rPr/>
            </w:pPr>
            <w:r>
              <w:rPr/>
              <w:t>59.3</w:t>
            </w:r>
          </w:p>
        </w:tc>
        <w:tc>
          <w:tcPr>
            <w:tcW w:w="314"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rStyle w:val="StrongEmphasis"/>
              </w:rPr>
              <w:t> </w:t>
            </w:r>
          </w:p>
        </w:tc>
        <w:tc>
          <w:tcPr>
            <w:tcW w:w="235" w:type="dxa"/>
            <w:tcBorders/>
            <w:vAlign w:val="center"/>
          </w:tcPr>
          <w:p>
            <w:pPr>
              <w:pStyle w:val="TableContents"/>
              <w:bidi w:val="0"/>
              <w:spacing w:before="0" w:after="283"/>
              <w:jc w:val="left"/>
              <w:rPr/>
            </w:pPr>
            <w:r>
              <w:rPr>
                <w:rStyle w:val="StrongEmphasis"/>
              </w:rPr>
              <w:t> </w:t>
            </w:r>
          </w:p>
        </w:tc>
        <w:tc>
          <w:tcPr>
            <w:tcW w:w="1003" w:type="dxa"/>
            <w:tcBorders/>
            <w:vAlign w:val="center"/>
          </w:tcPr>
          <w:p>
            <w:pPr>
              <w:pStyle w:val="TableContents"/>
              <w:bidi w:val="0"/>
              <w:spacing w:before="0" w:after="283"/>
              <w:jc w:val="right"/>
              <w:rPr/>
            </w:pPr>
            <w:r>
              <w:rPr/>
              <w:t>52.5</w:t>
            </w:r>
          </w:p>
        </w:tc>
        <w:tc>
          <w:tcPr>
            <w:tcW w:w="370" w:type="dxa"/>
            <w:tcBorders/>
            <w:vAlign w:val="center"/>
          </w:tcPr>
          <w:p>
            <w:pPr>
              <w:pStyle w:val="TableContents"/>
              <w:bidi w:val="0"/>
              <w:spacing w:before="0" w:after="283"/>
              <w:jc w:val="left"/>
              <w:rPr/>
            </w:pPr>
            <w:r>
              <w:rPr/>
              <w:t>%</w:t>
            </w:r>
          </w:p>
        </w:tc>
      </w:tr>
      <w:tr>
        <w:trPr/>
        <w:tc>
          <w:tcPr>
            <w:tcW w:w="3188" w:type="dxa"/>
            <w:tcBorders/>
            <w:vAlign w:val="center"/>
          </w:tcPr>
          <w:p>
            <w:pPr>
              <w:pStyle w:val="TableContents"/>
              <w:bidi w:val="0"/>
              <w:spacing w:before="0" w:after="283"/>
              <w:jc w:val="left"/>
              <w:rPr/>
            </w:pPr>
            <w:r>
              <w:rPr/>
              <w:t>Operating expenses:</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right"/>
              <w:rPr/>
            </w:pPr>
            <w:r>
              <w:rPr/>
              <w:t> </w:t>
            </w:r>
          </w:p>
        </w:tc>
      </w:tr>
      <w:tr>
        <w:trPr/>
        <w:tc>
          <w:tcPr>
            <w:tcW w:w="3188" w:type="dxa"/>
            <w:tcBorders/>
            <w:vAlign w:val="center"/>
          </w:tcPr>
          <w:p>
            <w:pPr>
              <w:pStyle w:val="TableContents"/>
              <w:bidi w:val="0"/>
              <w:spacing w:before="0" w:after="283"/>
              <w:jc w:val="left"/>
              <w:rPr/>
            </w:pPr>
            <w:r>
              <w:rPr/>
              <w:t>Research and development</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10,240</w:t>
            </w:r>
          </w:p>
        </w:tc>
        <w:tc>
          <w:tcPr>
            <w:tcW w:w="339"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8,873</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20,596</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16,463</w:t>
            </w:r>
          </w:p>
        </w:tc>
        <w:tc>
          <w:tcPr>
            <w:tcW w:w="370" w:type="dxa"/>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Sales and marketing</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24,640</w:t>
            </w:r>
          </w:p>
        </w:tc>
        <w:tc>
          <w:tcPr>
            <w:tcW w:w="339"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15,623</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45,375</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29,025</w:t>
            </w:r>
          </w:p>
        </w:tc>
        <w:tc>
          <w:tcPr>
            <w:tcW w:w="370" w:type="dxa"/>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General and administrative</w:t>
            </w:r>
          </w:p>
        </w:tc>
        <w:tc>
          <w:tcPr>
            <w:tcW w:w="164" w:type="dxa"/>
            <w:tcBorders/>
            <w:vAlign w:val="center"/>
          </w:tcPr>
          <w:p>
            <w:pPr>
              <w:pStyle w:val="TableContents"/>
              <w:bidi w:val="0"/>
              <w:spacing w:before="0" w:after="283"/>
              <w:jc w:val="left"/>
              <w:rPr/>
            </w:pPr>
            <w:r>
              <w:rPr/>
              <w:t> </w:t>
            </w:r>
          </w:p>
        </w:tc>
        <w:tc>
          <w:tcPr>
            <w:tcW w:w="2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9,600</w:t>
            </w:r>
          </w:p>
        </w:tc>
        <w:tc>
          <w:tcPr>
            <w:tcW w:w="33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7,879</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19,217</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14,500</w:t>
            </w:r>
          </w:p>
        </w:tc>
        <w:tc>
          <w:tcPr>
            <w:tcW w:w="37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Total operating expenses</w:t>
            </w:r>
          </w:p>
        </w:tc>
        <w:tc>
          <w:tcPr>
            <w:tcW w:w="164" w:type="dxa"/>
            <w:tcBorders/>
            <w:vAlign w:val="center"/>
          </w:tcPr>
          <w:p>
            <w:pPr>
              <w:pStyle w:val="TableContents"/>
              <w:bidi w:val="0"/>
              <w:spacing w:before="0" w:after="283"/>
              <w:jc w:val="left"/>
              <w:rPr/>
            </w:pPr>
            <w:r>
              <w:rPr/>
              <w:t> </w:t>
            </w:r>
          </w:p>
        </w:tc>
        <w:tc>
          <w:tcPr>
            <w:tcW w:w="2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44,480</w:t>
            </w:r>
          </w:p>
        </w:tc>
        <w:tc>
          <w:tcPr>
            <w:tcW w:w="33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32,375</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85,188</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59,988</w:t>
            </w:r>
          </w:p>
        </w:tc>
        <w:tc>
          <w:tcPr>
            <w:tcW w:w="37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rStyle w:val="StrongEmphasis"/>
              </w:rPr>
              <w:t>Loss from operations</w:t>
            </w:r>
          </w:p>
        </w:tc>
        <w:tc>
          <w:tcPr>
            <w:tcW w:w="164" w:type="dxa"/>
            <w:tcBorders/>
            <w:vAlign w:val="center"/>
          </w:tcPr>
          <w:p>
            <w:pPr>
              <w:pStyle w:val="TableContents"/>
              <w:bidi w:val="0"/>
              <w:spacing w:before="0" w:after="283"/>
              <w:jc w:val="left"/>
              <w:rPr/>
            </w:pPr>
            <w:r>
              <w:rPr>
                <w:rStyle w:val="StrongEmphasis"/>
              </w:rPr>
              <w:t> </w:t>
            </w:r>
          </w:p>
        </w:tc>
        <w:tc>
          <w:tcPr>
            <w:tcW w:w="2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StrongEmphasis"/>
              </w:rPr>
              <w:t> </w:t>
            </w:r>
          </w:p>
        </w:tc>
        <w:tc>
          <w:tcPr>
            <w:tcW w:w="105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(25,578</w:t>
            </w:r>
          </w:p>
        </w:tc>
        <w:tc>
          <w:tcPr>
            <w:tcW w:w="33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64" w:type="dxa"/>
            <w:tcBorders/>
            <w:vAlign w:val="center"/>
          </w:tcPr>
          <w:p>
            <w:pPr>
              <w:pStyle w:val="TableContents"/>
              <w:bidi w:val="0"/>
              <w:spacing w:before="0" w:after="283"/>
              <w:jc w:val="left"/>
              <w:rPr/>
            </w:pPr>
            <w:r>
              <w:rPr>
                <w:rStyle w:val="StrongEmphasis"/>
              </w:rPr>
              <w:t> </w:t>
            </w:r>
          </w:p>
        </w:tc>
        <w:tc>
          <w:tcPr>
            <w:tcW w:w="2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StrongEmphasis"/>
              </w:rPr>
              <w:t> </w:t>
            </w:r>
          </w:p>
        </w:tc>
        <w:tc>
          <w:tcPr>
            <w:tcW w:w="97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(19,872</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52" w:type="dxa"/>
            <w:tcBorders/>
            <w:vAlign w:val="center"/>
          </w:tcPr>
          <w:p>
            <w:pPr>
              <w:pStyle w:val="TableContents"/>
              <w:bidi w:val="0"/>
              <w:spacing w:before="0" w:after="283"/>
              <w:jc w:val="left"/>
              <w:rPr/>
            </w:pPr>
            <w:r>
              <w:rPr>
                <w:rStyle w:val="StrongEmphasis"/>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StrongEmphasis"/>
              </w:rPr>
              <w:t> </w:t>
            </w:r>
          </w:p>
        </w:tc>
        <w:tc>
          <w:tcPr>
            <w:tcW w:w="10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(49,849</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52" w:type="dxa"/>
            <w:tcBorders/>
            <w:vAlign w:val="center"/>
          </w:tcPr>
          <w:p>
            <w:pPr>
              <w:pStyle w:val="TableContents"/>
              <w:bidi w:val="0"/>
              <w:spacing w:before="0" w:after="283"/>
              <w:jc w:val="left"/>
              <w:rPr/>
            </w:pPr>
            <w:r>
              <w:rPr>
                <w:rStyle w:val="StrongEmphasis"/>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StrongEmphasis"/>
              </w:rPr>
              <w:t> </w:t>
            </w:r>
          </w:p>
        </w:tc>
        <w:tc>
          <w:tcPr>
            <w:tcW w:w="10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(38,514</w:t>
            </w:r>
          </w:p>
        </w:tc>
        <w:tc>
          <w:tcPr>
            <w:tcW w:w="37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r>
      <w:tr>
        <w:trPr/>
        <w:tc>
          <w:tcPr>
            <w:tcW w:w="3188" w:type="dxa"/>
            <w:tcBorders/>
            <w:vAlign w:val="center"/>
          </w:tcPr>
          <w:p>
            <w:pPr>
              <w:pStyle w:val="TableContents"/>
              <w:bidi w:val="0"/>
              <w:spacing w:before="0" w:after="283"/>
              <w:jc w:val="left"/>
              <w:rPr/>
            </w:pPr>
            <w:r>
              <w:rPr/>
              <w:t>Other income (expense):</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right"/>
              <w:rPr/>
            </w:pPr>
            <w:r>
              <w:rPr/>
              <w:t> </w:t>
            </w:r>
          </w:p>
        </w:tc>
      </w:tr>
      <w:tr>
        <w:trPr/>
        <w:tc>
          <w:tcPr>
            <w:tcW w:w="3188" w:type="dxa"/>
            <w:tcBorders/>
            <w:vAlign w:val="center"/>
          </w:tcPr>
          <w:p>
            <w:pPr>
              <w:pStyle w:val="TableContents"/>
              <w:bidi w:val="0"/>
              <w:spacing w:before="0" w:after="283"/>
              <w:jc w:val="left"/>
              <w:rPr/>
            </w:pPr>
            <w:r>
              <w:rPr/>
              <w:t>Interest income</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2,177</w:t>
            </w:r>
          </w:p>
        </w:tc>
        <w:tc>
          <w:tcPr>
            <w:tcW w:w="339"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3,005</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4,553</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5,441</w:t>
            </w:r>
          </w:p>
        </w:tc>
        <w:tc>
          <w:tcPr>
            <w:tcW w:w="370" w:type="dxa"/>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Other expense</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(2</w:t>
            </w:r>
          </w:p>
        </w:tc>
        <w:tc>
          <w:tcPr>
            <w:tcW w:w="33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w:t>
            </w:r>
          </w:p>
        </w:tc>
        <w:tc>
          <w:tcPr>
            <w:tcW w:w="314"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(2</w:t>
            </w:r>
          </w:p>
        </w:tc>
        <w:tc>
          <w:tcPr>
            <w:tcW w:w="314"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(2</w:t>
            </w:r>
          </w:p>
        </w:tc>
        <w:tc>
          <w:tcPr>
            <w:tcW w:w="370" w:type="dxa"/>
            <w:tcBorders/>
            <w:vAlign w:val="center"/>
          </w:tcPr>
          <w:p>
            <w:pPr>
              <w:pStyle w:val="TableContents"/>
              <w:bidi w:val="0"/>
              <w:spacing w:before="0" w:after="283"/>
              <w:jc w:val="left"/>
              <w:rPr/>
            </w:pPr>
            <w:r>
              <w:rPr/>
              <w:t>)</w:t>
            </w:r>
          </w:p>
        </w:tc>
      </w:tr>
      <w:tr>
        <w:trPr/>
        <w:tc>
          <w:tcPr>
            <w:tcW w:w="3188" w:type="dxa"/>
            <w:tcBorders/>
            <w:vAlign w:val="center"/>
          </w:tcPr>
          <w:p>
            <w:pPr>
              <w:pStyle w:val="TableContents"/>
              <w:bidi w:val="0"/>
              <w:spacing w:before="0" w:after="283"/>
              <w:jc w:val="left"/>
              <w:rPr/>
            </w:pPr>
            <w:r>
              <w:rPr/>
              <w:t>Change in fair value of warrant liabilities</w:t>
            </w:r>
          </w:p>
        </w:tc>
        <w:tc>
          <w:tcPr>
            <w:tcW w:w="164" w:type="dxa"/>
            <w:tcBorders/>
            <w:vAlign w:val="center"/>
          </w:tcPr>
          <w:p>
            <w:pPr>
              <w:pStyle w:val="TableContents"/>
              <w:bidi w:val="0"/>
              <w:spacing w:before="0" w:after="283"/>
              <w:jc w:val="left"/>
              <w:rPr/>
            </w:pPr>
            <w:r>
              <w:rPr/>
              <w:t> </w:t>
            </w:r>
          </w:p>
        </w:tc>
        <w:tc>
          <w:tcPr>
            <w:tcW w:w="2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33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(12,450</w:t>
            </w:r>
          </w:p>
        </w:tc>
        <w:tc>
          <w:tcPr>
            <w:tcW w:w="37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188" w:type="dxa"/>
            <w:tcBorders/>
            <w:vAlign w:val="center"/>
          </w:tcPr>
          <w:p>
            <w:pPr>
              <w:pStyle w:val="TableContents"/>
              <w:bidi w:val="0"/>
              <w:spacing w:before="0" w:after="283"/>
              <w:jc w:val="left"/>
              <w:rPr/>
            </w:pPr>
            <w:r>
              <w:rPr/>
              <w:t>Total other income (expense), net</w:t>
            </w:r>
          </w:p>
        </w:tc>
        <w:tc>
          <w:tcPr>
            <w:tcW w:w="164" w:type="dxa"/>
            <w:tcBorders/>
            <w:vAlign w:val="center"/>
          </w:tcPr>
          <w:p>
            <w:pPr>
              <w:pStyle w:val="TableContents"/>
              <w:bidi w:val="0"/>
              <w:spacing w:before="0" w:after="283"/>
              <w:jc w:val="left"/>
              <w:rPr/>
            </w:pPr>
            <w:r>
              <w:rPr/>
              <w:t> </w:t>
            </w:r>
          </w:p>
        </w:tc>
        <w:tc>
          <w:tcPr>
            <w:tcW w:w="2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2,175</w:t>
            </w:r>
          </w:p>
        </w:tc>
        <w:tc>
          <w:tcPr>
            <w:tcW w:w="33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3,003</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4,551</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(7,011</w:t>
            </w:r>
          </w:p>
        </w:tc>
        <w:tc>
          <w:tcPr>
            <w:tcW w:w="37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188" w:type="dxa"/>
            <w:tcBorders/>
            <w:vAlign w:val="center"/>
          </w:tcPr>
          <w:p>
            <w:pPr>
              <w:pStyle w:val="TableContents"/>
              <w:bidi w:val="0"/>
              <w:spacing w:before="0" w:after="283"/>
              <w:jc w:val="left"/>
              <w:rPr/>
            </w:pPr>
            <w:r>
              <w:rPr>
                <w:rStyle w:val="StrongEmphasis"/>
              </w:rPr>
              <w:t xml:space="preserve">Net loss </w:t>
            </w:r>
          </w:p>
        </w:tc>
        <w:tc>
          <w:tcPr>
            <w:tcW w:w="164" w:type="dxa"/>
            <w:tcBorders/>
            <w:vAlign w:val="center"/>
          </w:tcPr>
          <w:p>
            <w:pPr>
              <w:pStyle w:val="TableContents"/>
              <w:bidi w:val="0"/>
              <w:spacing w:before="0" w:after="283"/>
              <w:jc w:val="left"/>
              <w:rPr/>
            </w:pPr>
            <w:r>
              <w:rPr>
                <w:rStyle w:val="StrongEmphasis"/>
              </w:rPr>
              <w:t> </w:t>
            </w:r>
          </w:p>
        </w:tc>
        <w:tc>
          <w:tcPr>
            <w:tcW w:w="28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05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(23,403</w:t>
            </w:r>
          </w:p>
        </w:tc>
        <w:tc>
          <w:tcPr>
            <w:tcW w:w="33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64" w:type="dxa"/>
            <w:tcBorders/>
            <w:vAlign w:val="center"/>
          </w:tcPr>
          <w:p>
            <w:pPr>
              <w:pStyle w:val="TableContents"/>
              <w:bidi w:val="0"/>
              <w:spacing w:before="0" w:after="283"/>
              <w:jc w:val="left"/>
              <w:rPr/>
            </w:pPr>
            <w:r>
              <w:rPr>
                <w:rStyle w:val="StrongEmphasis"/>
              </w:rPr>
              <w:t> </w:t>
            </w:r>
          </w:p>
        </w:tc>
        <w:tc>
          <w:tcPr>
            <w:tcW w:w="26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97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(16,869</w:t>
            </w:r>
          </w:p>
        </w:tc>
        <w:tc>
          <w:tcPr>
            <w:tcW w:w="314"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52" w:type="dxa"/>
            <w:tcBorders/>
            <w:vAlign w:val="center"/>
          </w:tcPr>
          <w:p>
            <w:pPr>
              <w:pStyle w:val="TableContents"/>
              <w:bidi w:val="0"/>
              <w:spacing w:before="0" w:after="283"/>
              <w:jc w:val="left"/>
              <w:rPr/>
            </w:pPr>
            <w:r>
              <w:rPr>
                <w:rStyle w:val="StrongEmphasis"/>
              </w:rPr>
              <w:t> </w:t>
            </w:r>
          </w:p>
        </w:tc>
        <w:tc>
          <w:tcPr>
            <w:tcW w:w="23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00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(45,298</w:t>
            </w:r>
          </w:p>
        </w:tc>
        <w:tc>
          <w:tcPr>
            <w:tcW w:w="314"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52" w:type="dxa"/>
            <w:tcBorders/>
            <w:vAlign w:val="center"/>
          </w:tcPr>
          <w:p>
            <w:pPr>
              <w:pStyle w:val="TableContents"/>
              <w:bidi w:val="0"/>
              <w:spacing w:before="0" w:after="283"/>
              <w:jc w:val="left"/>
              <w:rPr/>
            </w:pPr>
            <w:r>
              <w:rPr>
                <w:rStyle w:val="StrongEmphasis"/>
              </w:rPr>
              <w:t> </w:t>
            </w:r>
          </w:p>
        </w:tc>
        <w:tc>
          <w:tcPr>
            <w:tcW w:w="23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00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(45,525</w:t>
            </w:r>
          </w:p>
        </w:tc>
        <w:tc>
          <w:tcPr>
            <w:tcW w:w="37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r>
      <w:tr>
        <w:trPr/>
        <w:tc>
          <w:tcPr>
            <w:tcW w:w="3188" w:type="dxa"/>
            <w:tcBorders/>
            <w:vAlign w:val="center"/>
          </w:tcPr>
          <w:p>
            <w:pPr>
              <w:pStyle w:val="TableContents"/>
              <w:bidi w:val="0"/>
              <w:spacing w:before="0" w:after="283"/>
              <w:jc w:val="left"/>
              <w:rPr/>
            </w:pPr>
            <w:r>
              <w:rPr/>
              <w:t>Other comprehensive income (loss):</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right"/>
              <w:rPr/>
            </w:pPr>
            <w:r>
              <w:rPr/>
              <w:t> </w:t>
            </w:r>
          </w:p>
        </w:tc>
      </w:tr>
      <w:tr>
        <w:trPr/>
        <w:tc>
          <w:tcPr>
            <w:tcW w:w="3188" w:type="dxa"/>
            <w:tcBorders/>
            <w:vAlign w:val="center"/>
          </w:tcPr>
          <w:p>
            <w:pPr>
              <w:pStyle w:val="TableContents"/>
              <w:bidi w:val="0"/>
              <w:spacing w:before="0" w:after="283"/>
              <w:jc w:val="left"/>
              <w:rPr/>
            </w:pPr>
            <w:r>
              <w:rPr/>
              <w:t>Unrealized gain (loss) on short-term and long-term investments</w:t>
            </w:r>
          </w:p>
        </w:tc>
        <w:tc>
          <w:tcPr>
            <w:tcW w:w="164" w:type="dxa"/>
            <w:tcBorders/>
            <w:vAlign w:val="center"/>
          </w:tcPr>
          <w:p>
            <w:pPr>
              <w:pStyle w:val="TableContents"/>
              <w:bidi w:val="0"/>
              <w:spacing w:before="0" w:after="283"/>
              <w:jc w:val="left"/>
              <w:rPr/>
            </w:pPr>
            <w:r>
              <w:rPr/>
              <w:t> </w:t>
            </w:r>
          </w:p>
        </w:tc>
        <w:tc>
          <w:tcPr>
            <w:tcW w:w="2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(294</w:t>
            </w:r>
          </w:p>
        </w:tc>
        <w:tc>
          <w:tcPr>
            <w:tcW w:w="33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(91</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(793</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84</w:t>
            </w:r>
          </w:p>
        </w:tc>
        <w:tc>
          <w:tcPr>
            <w:tcW w:w="37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rStyle w:val="StrongEmphasis"/>
              </w:rPr>
              <w:t>Comprehensive loss</w:t>
            </w:r>
          </w:p>
        </w:tc>
        <w:tc>
          <w:tcPr>
            <w:tcW w:w="164" w:type="dxa"/>
            <w:tcBorders/>
            <w:vAlign w:val="center"/>
          </w:tcPr>
          <w:p>
            <w:pPr>
              <w:pStyle w:val="TableContents"/>
              <w:bidi w:val="0"/>
              <w:spacing w:before="0" w:after="283"/>
              <w:jc w:val="left"/>
              <w:rPr/>
            </w:pPr>
            <w:r>
              <w:rPr>
                <w:rStyle w:val="StrongEmphasis"/>
              </w:rPr>
              <w:t> </w:t>
            </w:r>
          </w:p>
        </w:tc>
        <w:tc>
          <w:tcPr>
            <w:tcW w:w="28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05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(23,697</w:t>
            </w:r>
          </w:p>
        </w:tc>
        <w:tc>
          <w:tcPr>
            <w:tcW w:w="33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64" w:type="dxa"/>
            <w:tcBorders/>
            <w:vAlign w:val="center"/>
          </w:tcPr>
          <w:p>
            <w:pPr>
              <w:pStyle w:val="TableContents"/>
              <w:bidi w:val="0"/>
              <w:spacing w:before="0" w:after="283"/>
              <w:jc w:val="left"/>
              <w:rPr/>
            </w:pPr>
            <w:r>
              <w:rPr>
                <w:rStyle w:val="StrongEmphasis"/>
              </w:rPr>
              <w:t> </w:t>
            </w:r>
          </w:p>
        </w:tc>
        <w:tc>
          <w:tcPr>
            <w:tcW w:w="26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97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(16,960</w:t>
            </w:r>
          </w:p>
        </w:tc>
        <w:tc>
          <w:tcPr>
            <w:tcW w:w="314"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52" w:type="dxa"/>
            <w:tcBorders/>
            <w:vAlign w:val="center"/>
          </w:tcPr>
          <w:p>
            <w:pPr>
              <w:pStyle w:val="TableContents"/>
              <w:bidi w:val="0"/>
              <w:spacing w:before="0" w:after="283"/>
              <w:jc w:val="left"/>
              <w:rPr/>
            </w:pPr>
            <w:r>
              <w:rPr>
                <w:rStyle w:val="StrongEmphasis"/>
              </w:rPr>
              <w:t> </w:t>
            </w:r>
          </w:p>
        </w:tc>
        <w:tc>
          <w:tcPr>
            <w:tcW w:w="23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00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(46,091</w:t>
            </w:r>
          </w:p>
        </w:tc>
        <w:tc>
          <w:tcPr>
            <w:tcW w:w="314"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52" w:type="dxa"/>
            <w:tcBorders/>
            <w:vAlign w:val="center"/>
          </w:tcPr>
          <w:p>
            <w:pPr>
              <w:pStyle w:val="TableContents"/>
              <w:bidi w:val="0"/>
              <w:spacing w:before="0" w:after="283"/>
              <w:jc w:val="left"/>
              <w:rPr/>
            </w:pPr>
            <w:r>
              <w:rPr>
                <w:rStyle w:val="StrongEmphasis"/>
              </w:rPr>
              <w:t> </w:t>
            </w:r>
          </w:p>
        </w:tc>
        <w:tc>
          <w:tcPr>
            <w:tcW w:w="23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00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(45,441</w:t>
            </w:r>
          </w:p>
        </w:tc>
        <w:tc>
          <w:tcPr>
            <w:tcW w:w="37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r>
      <w:tr>
        <w:trPr/>
        <w:tc>
          <w:tcPr>
            <w:tcW w:w="3188" w:type="dxa"/>
            <w:tcBorders/>
            <w:vAlign w:val="center"/>
          </w:tcPr>
          <w:p>
            <w:pPr>
              <w:pStyle w:val="TableContents"/>
              <w:bidi w:val="0"/>
              <w:spacing w:before="0" w:after="283"/>
              <w:jc w:val="left"/>
              <w:rPr/>
            </w:pPr>
            <w:r>
              <w:rPr>
                <w:rStyle w:val="StrongEmphasis"/>
              </w:rPr>
              <w:t>Net loss per share attributable to common stockholders, basic and diluted</w:t>
            </w:r>
          </w:p>
        </w:tc>
        <w:tc>
          <w:tcPr>
            <w:tcW w:w="164" w:type="dxa"/>
            <w:tcBorders/>
            <w:vAlign w:val="center"/>
          </w:tcPr>
          <w:p>
            <w:pPr>
              <w:pStyle w:val="TableContents"/>
              <w:bidi w:val="0"/>
              <w:spacing w:before="0" w:after="283"/>
              <w:jc w:val="left"/>
              <w:rPr/>
            </w:pPr>
            <w:r>
              <w:rPr>
                <w:rStyle w:val="StrongEmphasis"/>
              </w:rPr>
              <w:t> </w:t>
            </w:r>
          </w:p>
        </w:tc>
        <w:tc>
          <w:tcPr>
            <w:tcW w:w="28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05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(0.53</w:t>
            </w:r>
          </w:p>
        </w:tc>
        <w:tc>
          <w:tcPr>
            <w:tcW w:w="33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64" w:type="dxa"/>
            <w:tcBorders/>
            <w:vAlign w:val="center"/>
          </w:tcPr>
          <w:p>
            <w:pPr>
              <w:pStyle w:val="TableContents"/>
              <w:bidi w:val="0"/>
              <w:spacing w:before="0" w:after="283"/>
              <w:jc w:val="left"/>
              <w:rPr/>
            </w:pPr>
            <w:r>
              <w:rPr>
                <w:rStyle w:val="StrongEmphasis"/>
              </w:rPr>
              <w:t> </w:t>
            </w:r>
          </w:p>
        </w:tc>
        <w:tc>
          <w:tcPr>
            <w:tcW w:w="26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97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(0.39</w:t>
            </w:r>
          </w:p>
        </w:tc>
        <w:tc>
          <w:tcPr>
            <w:tcW w:w="314"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52" w:type="dxa"/>
            <w:tcBorders/>
            <w:vAlign w:val="center"/>
          </w:tcPr>
          <w:p>
            <w:pPr>
              <w:pStyle w:val="TableContents"/>
              <w:bidi w:val="0"/>
              <w:spacing w:before="0" w:after="283"/>
              <w:jc w:val="left"/>
              <w:rPr/>
            </w:pPr>
            <w:r>
              <w:rPr>
                <w:rStyle w:val="StrongEmphasis"/>
              </w:rPr>
              <w:t> </w:t>
            </w:r>
          </w:p>
        </w:tc>
        <w:tc>
          <w:tcPr>
            <w:tcW w:w="23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00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(1.02</w:t>
            </w:r>
          </w:p>
        </w:tc>
        <w:tc>
          <w:tcPr>
            <w:tcW w:w="314"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52" w:type="dxa"/>
            <w:tcBorders/>
            <w:vAlign w:val="center"/>
          </w:tcPr>
          <w:p>
            <w:pPr>
              <w:pStyle w:val="TableContents"/>
              <w:bidi w:val="0"/>
              <w:spacing w:before="0" w:after="283"/>
              <w:jc w:val="left"/>
              <w:rPr/>
            </w:pPr>
            <w:r>
              <w:rPr>
                <w:rStyle w:val="StrongEmphasis"/>
              </w:rPr>
              <w:t> </w:t>
            </w:r>
          </w:p>
        </w:tc>
        <w:tc>
          <w:tcPr>
            <w:tcW w:w="23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00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(1.23</w:t>
            </w:r>
          </w:p>
        </w:tc>
        <w:tc>
          <w:tcPr>
            <w:tcW w:w="37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r>
      <w:tr>
        <w:trPr/>
        <w:tc>
          <w:tcPr>
            <w:tcW w:w="3188" w:type="dxa"/>
            <w:tcBorders/>
            <w:vAlign w:val="center"/>
          </w:tcPr>
          <w:p>
            <w:pPr>
              <w:pStyle w:val="TableContents"/>
              <w:bidi w:val="0"/>
              <w:spacing w:before="0" w:after="283"/>
              <w:jc w:val="left"/>
              <w:rPr/>
            </w:pPr>
            <w:r>
              <w:rPr/>
              <w:t>Weighted-average common shares outstanding, basic and diluted</w:t>
            </w:r>
          </w:p>
        </w:tc>
        <w:tc>
          <w:tcPr>
            <w:tcW w:w="164" w:type="dxa"/>
            <w:tcBorders/>
            <w:vAlign w:val="center"/>
          </w:tcPr>
          <w:p>
            <w:pPr>
              <w:pStyle w:val="TableContents"/>
              <w:bidi w:val="0"/>
              <w:spacing w:before="0" w:after="283"/>
              <w:jc w:val="left"/>
              <w:rPr/>
            </w:pPr>
            <w:r>
              <w:rPr/>
              <w:t> </w:t>
            </w:r>
          </w:p>
        </w:tc>
        <w:tc>
          <w:tcPr>
            <w:tcW w:w="1337" w:type="dxa"/>
            <w:gridSpan w:val="2"/>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44,545,293</w:t>
            </w:r>
          </w:p>
        </w:tc>
        <w:tc>
          <w:tcPr>
            <w:tcW w:w="339"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36" w:type="dxa"/>
            <w:gridSpan w:val="2"/>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43,390,652</w:t>
            </w:r>
          </w:p>
        </w:tc>
        <w:tc>
          <w:tcPr>
            <w:tcW w:w="31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37" w:type="dxa"/>
            <w:gridSpan w:val="2"/>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44,554,141</w:t>
            </w:r>
          </w:p>
        </w:tc>
        <w:tc>
          <w:tcPr>
            <w:tcW w:w="31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38" w:type="dxa"/>
            <w:gridSpan w:val="2"/>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37,087,726</w:t>
            </w:r>
          </w:p>
        </w:tc>
        <w:tc>
          <w:tcPr>
            <w:tcW w:w="37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10205" w:type="dxa"/>
            <w:gridSpan w:val="17"/>
            <w:tcBorders/>
            <w:vAlign w:val="center"/>
          </w:tcPr>
          <w:p>
            <w:pPr>
              <w:pStyle w:val="TableContents"/>
              <w:bidi w:val="0"/>
              <w:spacing w:before="0" w:after="283"/>
              <w:jc w:val="center"/>
              <w:rPr/>
            </w:pPr>
            <w:r>
              <w:rPr>
                <w:rStyle w:val="StrongEmphasis"/>
              </w:rPr>
              <w:t>Beta Bionics, Inc.</w:t>
            </w:r>
          </w:p>
        </w:tc>
      </w:tr>
      <w:tr>
        <w:trPr/>
        <w:tc>
          <w:tcPr>
            <w:tcW w:w="10205" w:type="dxa"/>
            <w:gridSpan w:val="17"/>
            <w:tcBorders/>
            <w:vAlign w:val="center"/>
          </w:tcPr>
          <w:p>
            <w:pPr>
              <w:pStyle w:val="TableContents"/>
              <w:bidi w:val="0"/>
              <w:spacing w:before="0" w:after="283"/>
              <w:jc w:val="center"/>
              <w:rPr/>
            </w:pPr>
            <w:r>
              <w:rPr>
                <w:rStyle w:val="StrongEmphasis"/>
              </w:rPr>
              <w:t>Balance Sheets (unaudited)</w:t>
            </w:r>
          </w:p>
        </w:tc>
      </w:tr>
      <w:tr>
        <w:trPr/>
        <w:tc>
          <w:tcPr>
            <w:tcW w:w="10205" w:type="dxa"/>
            <w:gridSpan w:val="17"/>
            <w:tcBorders/>
            <w:vAlign w:val="center"/>
          </w:tcPr>
          <w:p>
            <w:pPr>
              <w:pStyle w:val="TableContents"/>
              <w:bidi w:val="0"/>
              <w:spacing w:before="0" w:after="283"/>
              <w:jc w:val="center"/>
              <w:rPr/>
            </w:pPr>
            <w:r>
              <w:rPr>
                <w:rStyle w:val="StrongEmphasis"/>
              </w:rPr>
              <w:t>Table B</w:t>
            </w:r>
          </w:p>
        </w:tc>
      </w:tr>
      <w:tr>
        <w:trPr/>
        <w:tc>
          <w:tcPr>
            <w:tcW w:w="3188" w:type="dxa"/>
            <w:tcBorders/>
            <w:vAlign w:val="center"/>
          </w:tcPr>
          <w:p>
            <w:pPr>
              <w:pStyle w:val="TableContents"/>
              <w:bidi w:val="0"/>
              <w:spacing w:before="0" w:after="283"/>
              <w:jc w:val="center"/>
              <w:rPr/>
            </w:pPr>
            <w:r>
              <w:rPr/>
              <w:t> </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6742" w:type="dxa"/>
            <w:gridSpan w:val="9"/>
            <w:vMerge w:val="restart"/>
            <w:tcBorders/>
            <w:vAlign w:val="center"/>
          </w:tcPr>
          <w:p>
            <w:pPr>
              <w:pStyle w:val="TableContents"/>
              <w:bidi w:val="0"/>
              <w:spacing w:before="0" w:after="283"/>
              <w:jc w:val="left"/>
              <w:rPr/>
            </w:pPr>
            <w:r>
              <w:rPr>
                <w:rStyle w:val="StrongEmphasis"/>
              </w:rPr>
              <w:t>(In thousands, except number of shares)</w:t>
            </w:r>
          </w:p>
        </w:tc>
        <w:tc>
          <w:tcPr>
            <w:tcW w:w="152" w:type="dxa"/>
            <w:tcBorders/>
            <w:vAlign w:val="center"/>
          </w:tcPr>
          <w:p>
            <w:pPr>
              <w:pStyle w:val="TableContents"/>
              <w:bidi w:val="0"/>
              <w:spacing w:before="0" w:after="283"/>
              <w:jc w:val="center"/>
              <w:rPr/>
            </w:pPr>
            <w:r>
              <w:rPr>
                <w:rStyle w:val="StrongEmphasis"/>
              </w:rPr>
              <w:t> </w:t>
            </w:r>
          </w:p>
        </w:tc>
        <w:tc>
          <w:tcPr>
            <w:tcW w:w="1551" w:type="dxa"/>
            <w:gridSpan w:val="3"/>
            <w:tcBorders/>
            <w:vAlign w:val="center"/>
          </w:tcPr>
          <w:p>
            <w:pPr>
              <w:pStyle w:val="TableContents"/>
              <w:bidi w:val="0"/>
              <w:spacing w:before="0" w:after="283"/>
              <w:jc w:val="center"/>
              <w:rPr/>
            </w:pPr>
            <w:r>
              <w:rPr>
                <w:rStyle w:val="StrongEmphasis"/>
              </w:rPr>
              <w:t>June 30,</w:t>
            </w:r>
          </w:p>
        </w:tc>
        <w:tc>
          <w:tcPr>
            <w:tcW w:w="152" w:type="dxa"/>
            <w:tcBorders/>
            <w:vAlign w:val="center"/>
          </w:tcPr>
          <w:p>
            <w:pPr>
              <w:pStyle w:val="TableContents"/>
              <w:bidi w:val="0"/>
              <w:spacing w:before="0" w:after="283"/>
              <w:jc w:val="center"/>
              <w:rPr/>
            </w:pPr>
            <w:r>
              <w:rPr/>
              <w:t> </w:t>
            </w:r>
          </w:p>
        </w:tc>
        <w:tc>
          <w:tcPr>
            <w:tcW w:w="1608" w:type="dxa"/>
            <w:gridSpan w:val="3"/>
            <w:tcBorders/>
            <w:vAlign w:val="center"/>
          </w:tcPr>
          <w:p>
            <w:pPr>
              <w:pStyle w:val="TableContents"/>
              <w:bidi w:val="0"/>
              <w:spacing w:before="0" w:after="283"/>
              <w:jc w:val="center"/>
              <w:rPr/>
            </w:pPr>
            <w:r>
              <w:rPr>
                <w:rStyle w:val="StrongEmphasis"/>
              </w:rPr>
              <w:t>December 31,</w:t>
            </w:r>
          </w:p>
        </w:tc>
      </w:tr>
      <w:tr>
        <w:trPr/>
        <w:tc>
          <w:tcPr>
            <w:tcW w:w="6742" w:type="dxa"/>
            <w:gridSpan w:val="9"/>
            <w:vMerge w:val="continue"/>
            <w:tcBorders/>
            <w:vAlign w:val="center"/>
          </w:tcPr>
          <w:p>
            <w:pPr>
              <w:pStyle w:val="Normal"/>
              <w:bidi w:val="0"/>
              <w:jc w:val="left"/>
              <w:rPr/>
            </w:pPr>
            <w:r>
              <w:rPr/>
            </w:r>
          </w:p>
        </w:tc>
        <w:tc>
          <w:tcPr>
            <w:tcW w:w="152" w:type="dxa"/>
            <w:tcBorders/>
            <w:vAlign w:val="center"/>
          </w:tcPr>
          <w:p>
            <w:pPr>
              <w:pStyle w:val="TableContents"/>
              <w:bidi w:val="0"/>
              <w:spacing w:before="0" w:after="283"/>
              <w:jc w:val="center"/>
              <w:rPr/>
            </w:pPr>
            <w:r>
              <w:rPr>
                <w:rStyle w:val="StrongEmphasis"/>
              </w:rPr>
              <w:t> </w:t>
            </w:r>
          </w:p>
        </w:tc>
        <w:tc>
          <w:tcPr>
            <w:tcW w:w="1551"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52" w:type="dxa"/>
            <w:tcBorders/>
            <w:vAlign w:val="center"/>
          </w:tcPr>
          <w:p>
            <w:pPr>
              <w:pStyle w:val="TableContents"/>
              <w:bidi w:val="0"/>
              <w:spacing w:before="0" w:after="283"/>
              <w:jc w:val="center"/>
              <w:rPr/>
            </w:pPr>
            <w:r>
              <w:rPr/>
              <w:t> </w:t>
            </w:r>
          </w:p>
        </w:tc>
        <w:tc>
          <w:tcPr>
            <w:tcW w:w="160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r>
      <w:tr>
        <w:trPr/>
        <w:tc>
          <w:tcPr>
            <w:tcW w:w="5192" w:type="dxa"/>
            <w:gridSpan w:val="6"/>
            <w:tcBorders/>
            <w:vAlign w:val="center"/>
          </w:tcPr>
          <w:p>
            <w:pPr>
              <w:pStyle w:val="TableContents"/>
              <w:bidi w:val="0"/>
              <w:spacing w:before="0" w:after="283"/>
              <w:jc w:val="left"/>
              <w:rPr/>
            </w:pPr>
            <w:r>
              <w:rPr>
                <w:rStyle w:val="StrongEmphasis"/>
              </w:rPr>
              <w:t>Assets</w:t>
            </w:r>
          </w:p>
        </w:tc>
        <w:tc>
          <w:tcPr>
            <w:tcW w:w="261" w:type="dxa"/>
            <w:tcBorders/>
            <w:vAlign w:val="center"/>
          </w:tcPr>
          <w:p>
            <w:pPr>
              <w:pStyle w:val="TableContents"/>
              <w:bidi w:val="0"/>
              <w:spacing w:before="0" w:after="283"/>
              <w:jc w:val="left"/>
              <w:rPr/>
            </w:pPr>
            <w:r>
              <w:rPr>
                <w:rStyle w:val="StrongEmphasis"/>
              </w:rPr>
              <w:t> </w:t>
            </w:r>
          </w:p>
        </w:tc>
        <w:tc>
          <w:tcPr>
            <w:tcW w:w="1289" w:type="dxa"/>
            <w:gridSpan w:val="2"/>
            <w:tcBorders/>
            <w:vAlign w:val="center"/>
          </w:tcPr>
          <w:p>
            <w:pPr>
              <w:pStyle w:val="TableContents"/>
              <w:bidi w:val="0"/>
              <w:spacing w:before="0" w:after="283"/>
              <w:jc w:val="left"/>
              <w:rPr/>
            </w:pPr>
            <w:r>
              <w:rPr>
                <w:rStyle w:val="StrongEmphasis"/>
              </w:rPr>
              <w:t> </w:t>
            </w:r>
          </w:p>
        </w:tc>
        <w:tc>
          <w:tcPr>
            <w:tcW w:w="152" w:type="dxa"/>
            <w:tcBorders/>
            <w:vAlign w:val="center"/>
          </w:tcPr>
          <w:p>
            <w:pPr>
              <w:pStyle w:val="TableContents"/>
              <w:bidi w:val="0"/>
              <w:spacing w:before="0" w:after="283"/>
              <w:jc w:val="left"/>
              <w:rPr/>
            </w:pPr>
            <w:r>
              <w:rPr>
                <w:rStyle w:val="StrongEmphasis"/>
              </w:rPr>
              <w:t> </w:t>
            </w:r>
          </w:p>
        </w:tc>
        <w:tc>
          <w:tcPr>
            <w:tcW w:w="235" w:type="dxa"/>
            <w:tcBorders/>
            <w:vAlign w:val="center"/>
          </w:tcPr>
          <w:p>
            <w:pPr>
              <w:pStyle w:val="TableContents"/>
              <w:bidi w:val="0"/>
              <w:spacing w:before="0" w:after="283"/>
              <w:jc w:val="left"/>
              <w:rPr/>
            </w:pPr>
            <w:r>
              <w:rPr>
                <w:rStyle w:val="StrongEmphasis"/>
              </w:rPr>
              <w:t> </w:t>
            </w:r>
          </w:p>
        </w:tc>
        <w:tc>
          <w:tcPr>
            <w:tcW w:w="1316" w:type="dxa"/>
            <w:gridSpan w:val="2"/>
            <w:tcBorders/>
            <w:vAlign w:val="center"/>
          </w:tcPr>
          <w:p>
            <w:pPr>
              <w:pStyle w:val="TableContents"/>
              <w:bidi w:val="0"/>
              <w:spacing w:before="0" w:after="283"/>
              <w:jc w:val="left"/>
              <w:rPr/>
            </w:pPr>
            <w:r>
              <w:rPr>
                <w:rStyle w:val="StrongEmphasis"/>
              </w:rPr>
              <w:t> </w:t>
            </w:r>
          </w:p>
        </w:tc>
        <w:tc>
          <w:tcPr>
            <w:tcW w:w="152" w:type="dxa"/>
            <w:tcBorders/>
            <w:vAlign w:val="center"/>
          </w:tcPr>
          <w:p>
            <w:pPr>
              <w:pStyle w:val="TableContents"/>
              <w:bidi w:val="0"/>
              <w:spacing w:before="0" w:after="283"/>
              <w:jc w:val="left"/>
              <w:rPr/>
            </w:pPr>
            <w:r>
              <w:rPr>
                <w:rStyle w:val="StrongEmphasis"/>
              </w:rPr>
              <w:t> </w:t>
            </w:r>
          </w:p>
        </w:tc>
        <w:tc>
          <w:tcPr>
            <w:tcW w:w="235" w:type="dxa"/>
            <w:tcBorders/>
            <w:vAlign w:val="center"/>
          </w:tcPr>
          <w:p>
            <w:pPr>
              <w:pStyle w:val="TableContents"/>
              <w:bidi w:val="0"/>
              <w:spacing w:before="0" w:after="283"/>
              <w:jc w:val="left"/>
              <w:rPr/>
            </w:pPr>
            <w:r>
              <w:rPr>
                <w:rStyle w:val="StrongEmphasis"/>
              </w:rPr>
              <w:t> </w:t>
            </w:r>
          </w:p>
        </w:tc>
        <w:tc>
          <w:tcPr>
            <w:tcW w:w="1373" w:type="dxa"/>
            <w:gridSpan w:val="2"/>
            <w:tcBorders/>
            <w:vAlign w:val="center"/>
          </w:tcPr>
          <w:p>
            <w:pPr>
              <w:pStyle w:val="TableContents"/>
              <w:bidi w:val="0"/>
              <w:spacing w:before="0" w:after="283"/>
              <w:jc w:val="left"/>
              <w:rPr/>
            </w:pPr>
            <w:r>
              <w:rPr>
                <w:rStyle w:val="StrongEmphasis"/>
              </w:rPr>
              <w:t> </w:t>
            </w:r>
          </w:p>
        </w:tc>
      </w:tr>
      <w:tr>
        <w:trPr/>
        <w:tc>
          <w:tcPr>
            <w:tcW w:w="5192" w:type="dxa"/>
            <w:gridSpan w:val="6"/>
            <w:tcBorders/>
            <w:vAlign w:val="center"/>
          </w:tcPr>
          <w:p>
            <w:pPr>
              <w:pStyle w:val="TableContents"/>
              <w:bidi w:val="0"/>
              <w:spacing w:before="0" w:after="283"/>
              <w:jc w:val="left"/>
              <w:rPr/>
            </w:pPr>
            <w:r>
              <w:rPr/>
              <w:t>Current assets:</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Cash and cash equivalents</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1002" w:type="dxa"/>
            <w:tcBorders/>
            <w:vAlign w:val="center"/>
          </w:tcPr>
          <w:p>
            <w:pPr>
              <w:pStyle w:val="TableContents"/>
              <w:bidi w:val="0"/>
              <w:spacing w:before="0" w:after="283"/>
              <w:jc w:val="right"/>
              <w:rPr/>
            </w:pPr>
            <w:r>
              <w:rPr/>
              <w:t>44,318</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1003" w:type="dxa"/>
            <w:tcBorders/>
            <w:vAlign w:val="center"/>
          </w:tcPr>
          <w:p>
            <w:pPr>
              <w:pStyle w:val="TableContents"/>
              <w:bidi w:val="0"/>
              <w:spacing w:before="0" w:after="283"/>
              <w:jc w:val="right"/>
              <w:rPr/>
            </w:pPr>
            <w:r>
              <w:rPr/>
              <w:t>31,576</w:t>
            </w:r>
          </w:p>
        </w:tc>
        <w:tc>
          <w:tcPr>
            <w:tcW w:w="370" w:type="dxa"/>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Restricted cash, current</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100</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100</w:t>
            </w:r>
          </w:p>
        </w:tc>
        <w:tc>
          <w:tcPr>
            <w:tcW w:w="370" w:type="dxa"/>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Short-term investments</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136,171</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187,549</w:t>
            </w:r>
          </w:p>
        </w:tc>
        <w:tc>
          <w:tcPr>
            <w:tcW w:w="370" w:type="dxa"/>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Accounts receivable, net</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18,053</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17,118</w:t>
            </w:r>
          </w:p>
        </w:tc>
        <w:tc>
          <w:tcPr>
            <w:tcW w:w="370" w:type="dxa"/>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Inventories</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23,918</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21,722</w:t>
            </w:r>
          </w:p>
        </w:tc>
        <w:tc>
          <w:tcPr>
            <w:tcW w:w="370" w:type="dxa"/>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Prepaid expenses and other current assets</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8,474</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9,840</w:t>
            </w:r>
          </w:p>
        </w:tc>
        <w:tc>
          <w:tcPr>
            <w:tcW w:w="37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Total current assets</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231,034</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267,905</w:t>
            </w:r>
          </w:p>
        </w:tc>
        <w:tc>
          <w:tcPr>
            <w:tcW w:w="370" w:type="dxa"/>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Property and equipment, net</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10,748</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8,600</w:t>
            </w:r>
          </w:p>
        </w:tc>
        <w:tc>
          <w:tcPr>
            <w:tcW w:w="370" w:type="dxa"/>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Operating lease right-of-use asset</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5,816</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6,627</w:t>
            </w:r>
          </w:p>
        </w:tc>
        <w:tc>
          <w:tcPr>
            <w:tcW w:w="370" w:type="dxa"/>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Long-term investments</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44,648</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45,431</w:t>
            </w:r>
          </w:p>
        </w:tc>
        <w:tc>
          <w:tcPr>
            <w:tcW w:w="370" w:type="dxa"/>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Other long-term assets</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141</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180</w:t>
            </w:r>
          </w:p>
        </w:tc>
        <w:tc>
          <w:tcPr>
            <w:tcW w:w="37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rStyle w:val="StrongEmphasis"/>
              </w:rPr>
              <w:t>Total assets</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00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 xml:space="preserve">292,387 </w:t>
            </w:r>
          </w:p>
        </w:tc>
        <w:tc>
          <w:tcPr>
            <w:tcW w:w="314"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00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 xml:space="preserve">328,743 </w:t>
            </w:r>
          </w:p>
        </w:tc>
        <w:tc>
          <w:tcPr>
            <w:tcW w:w="37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rStyle w:val="StrongEmphasis"/>
              </w:rPr>
              <w:t>Liabilities and Stockholders’ Equity</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Current liabilities:</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Accounts payable</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1002" w:type="dxa"/>
            <w:tcBorders/>
            <w:vAlign w:val="center"/>
          </w:tcPr>
          <w:p>
            <w:pPr>
              <w:pStyle w:val="TableContents"/>
              <w:bidi w:val="0"/>
              <w:spacing w:before="0" w:after="283"/>
              <w:jc w:val="right"/>
              <w:rPr/>
            </w:pPr>
            <w:r>
              <w:rPr/>
              <w:t>5,351</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w:t>
            </w:r>
          </w:p>
        </w:tc>
        <w:tc>
          <w:tcPr>
            <w:tcW w:w="1003" w:type="dxa"/>
            <w:tcBorders/>
            <w:vAlign w:val="center"/>
          </w:tcPr>
          <w:p>
            <w:pPr>
              <w:pStyle w:val="TableContents"/>
              <w:bidi w:val="0"/>
              <w:spacing w:before="0" w:after="283"/>
              <w:jc w:val="right"/>
              <w:rPr/>
            </w:pPr>
            <w:r>
              <w:rPr/>
              <w:t>4,998</w:t>
            </w:r>
          </w:p>
        </w:tc>
        <w:tc>
          <w:tcPr>
            <w:tcW w:w="370" w:type="dxa"/>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Accrued expenses and other current liabilities</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17,194</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22,431</w:t>
            </w:r>
          </w:p>
        </w:tc>
        <w:tc>
          <w:tcPr>
            <w:tcW w:w="370" w:type="dxa"/>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Operating lease liabilities</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1,591</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1,938</w:t>
            </w:r>
          </w:p>
        </w:tc>
        <w:tc>
          <w:tcPr>
            <w:tcW w:w="370" w:type="dxa"/>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Deferred revenue</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1,881</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1,557</w:t>
            </w:r>
          </w:p>
        </w:tc>
        <w:tc>
          <w:tcPr>
            <w:tcW w:w="37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Total current liabilities</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26,017</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30,924</w:t>
            </w:r>
          </w:p>
        </w:tc>
        <w:tc>
          <w:tcPr>
            <w:tcW w:w="370" w:type="dxa"/>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Operating lease liabilities, net of current portion</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4,921</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5,365</w:t>
            </w:r>
          </w:p>
        </w:tc>
        <w:tc>
          <w:tcPr>
            <w:tcW w:w="370" w:type="dxa"/>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Deferred revenue, net of current portion</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3,454</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3,297</w:t>
            </w:r>
          </w:p>
        </w:tc>
        <w:tc>
          <w:tcPr>
            <w:tcW w:w="370" w:type="dxa"/>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Other long-term liabilities</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1,629</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1,547</w:t>
            </w:r>
          </w:p>
        </w:tc>
        <w:tc>
          <w:tcPr>
            <w:tcW w:w="37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rStyle w:val="StrongEmphasis"/>
              </w:rPr>
              <w:t>Total liabilities</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StrongEmphasis"/>
              </w:rPr>
              <w:t> </w:t>
            </w:r>
          </w:p>
        </w:tc>
        <w:tc>
          <w:tcPr>
            <w:tcW w:w="10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36,021</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StrongEmphasis"/>
              </w:rPr>
              <w:t> </w:t>
            </w:r>
          </w:p>
        </w:tc>
        <w:tc>
          <w:tcPr>
            <w:tcW w:w="10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 xml:space="preserve">41,133 </w:t>
            </w:r>
          </w:p>
        </w:tc>
        <w:tc>
          <w:tcPr>
            <w:tcW w:w="37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Commitments and contingencies</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Stockholders’ equity:</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Preferred stock, $0.0001 par value, 10,000,000 shares authorized; no shares issued and outstanding at June 30, 2026 and December 31, 2025</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370" w:type="dxa"/>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Common stock, $0.0001 par value, 700,000,000 shares authorized; 44,981,606 and 44,360,873 issued and outstanding at June 30, 2026 and December 31, 2025, respectively</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5</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4</w:t>
            </w:r>
          </w:p>
        </w:tc>
        <w:tc>
          <w:tcPr>
            <w:tcW w:w="370" w:type="dxa"/>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Additional paid-in capital</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671,986</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657,140</w:t>
            </w:r>
          </w:p>
        </w:tc>
        <w:tc>
          <w:tcPr>
            <w:tcW w:w="370" w:type="dxa"/>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Accumulated other comprehensive income (loss)</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(390</w:t>
            </w:r>
          </w:p>
        </w:tc>
        <w:tc>
          <w:tcPr>
            <w:tcW w:w="314"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403</w:t>
            </w:r>
          </w:p>
        </w:tc>
        <w:tc>
          <w:tcPr>
            <w:tcW w:w="370" w:type="dxa"/>
            <w:tcBorders/>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t>Accumulated deficit</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(415,235</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righ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(369,937</w:t>
            </w:r>
          </w:p>
        </w:tc>
        <w:tc>
          <w:tcPr>
            <w:tcW w:w="37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5192" w:type="dxa"/>
            <w:gridSpan w:val="6"/>
            <w:tcBorders/>
            <w:vAlign w:val="center"/>
          </w:tcPr>
          <w:p>
            <w:pPr>
              <w:pStyle w:val="TableContents"/>
              <w:bidi w:val="0"/>
              <w:spacing w:before="0" w:after="283"/>
              <w:jc w:val="left"/>
              <w:rPr/>
            </w:pPr>
            <w:r>
              <w:rPr>
                <w:rStyle w:val="StrongEmphasis"/>
              </w:rPr>
              <w:t>Total stockholders’ equity</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StrongEmphasis"/>
              </w:rPr>
              <w:t> </w:t>
            </w:r>
          </w:p>
        </w:tc>
        <w:tc>
          <w:tcPr>
            <w:tcW w:w="10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 xml:space="preserve">256,366 </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StrongEmphasis"/>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StrongEmphasis"/>
              </w:rPr>
              <w:t> </w:t>
            </w:r>
          </w:p>
        </w:tc>
        <w:tc>
          <w:tcPr>
            <w:tcW w:w="10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 xml:space="preserve">287,610 </w:t>
            </w:r>
          </w:p>
        </w:tc>
        <w:tc>
          <w:tcPr>
            <w:tcW w:w="37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92" w:type="dxa"/>
            <w:gridSpan w:val="6"/>
            <w:tcBorders/>
            <w:vAlign w:val="center"/>
          </w:tcPr>
          <w:p>
            <w:pPr>
              <w:pStyle w:val="TableContents"/>
              <w:bidi w:val="0"/>
              <w:spacing w:before="0" w:after="283"/>
              <w:jc w:val="left"/>
              <w:rPr/>
            </w:pPr>
            <w:r>
              <w:rPr>
                <w:rStyle w:val="StrongEmphasis"/>
              </w:rPr>
              <w:t>Total liabilities and stockholders’ equity</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00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 xml:space="preserve">292,387 </w:t>
            </w:r>
          </w:p>
        </w:tc>
        <w:tc>
          <w:tcPr>
            <w:tcW w:w="314"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00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328,743</w:t>
            </w:r>
          </w:p>
        </w:tc>
        <w:tc>
          <w:tcPr>
            <w:tcW w:w="37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10205" w:type="dxa"/>
            <w:gridSpan w:val="17"/>
            <w:tcBorders/>
            <w:vAlign w:val="center"/>
          </w:tcPr>
          <w:p>
            <w:pPr>
              <w:pStyle w:val="TableContents"/>
              <w:bidi w:val="0"/>
              <w:spacing w:before="0" w:after="283"/>
              <w:jc w:val="center"/>
              <w:rPr/>
            </w:pPr>
            <w:r>
              <w:rPr>
                <w:rStyle w:val="StrongEmphasis"/>
              </w:rPr>
              <w:t>Beta Bionics, Inc.</w:t>
            </w:r>
          </w:p>
        </w:tc>
      </w:tr>
      <w:tr>
        <w:trPr/>
        <w:tc>
          <w:tcPr>
            <w:tcW w:w="10205" w:type="dxa"/>
            <w:gridSpan w:val="17"/>
            <w:tcBorders/>
            <w:vAlign w:val="center"/>
          </w:tcPr>
          <w:p>
            <w:pPr>
              <w:pStyle w:val="TableContents"/>
              <w:bidi w:val="0"/>
              <w:spacing w:before="0" w:after="283"/>
              <w:jc w:val="center"/>
              <w:rPr/>
            </w:pPr>
            <w:r>
              <w:rPr>
                <w:rStyle w:val="StrongEmphasis"/>
              </w:rPr>
              <w:t>Net Sales by Channel (unaudited)</w:t>
            </w:r>
          </w:p>
        </w:tc>
      </w:tr>
      <w:tr>
        <w:trPr/>
        <w:tc>
          <w:tcPr>
            <w:tcW w:w="10205" w:type="dxa"/>
            <w:gridSpan w:val="17"/>
            <w:tcBorders/>
            <w:vAlign w:val="center"/>
          </w:tcPr>
          <w:p>
            <w:pPr>
              <w:pStyle w:val="TableContents"/>
              <w:bidi w:val="0"/>
              <w:spacing w:before="0" w:after="283"/>
              <w:jc w:val="center"/>
              <w:rPr/>
            </w:pPr>
            <w:r>
              <w:rPr>
                <w:rStyle w:val="StrongEmphasis"/>
              </w:rPr>
              <w:t>Table C</w:t>
            </w:r>
          </w:p>
        </w:tc>
      </w:tr>
      <w:tr>
        <w:trPr/>
        <w:tc>
          <w:tcPr>
            <w:tcW w:w="3188" w:type="dxa"/>
            <w:tcBorders/>
            <w:vAlign w:val="center"/>
          </w:tcPr>
          <w:p>
            <w:pPr>
              <w:pStyle w:val="TableContents"/>
              <w:bidi w:val="0"/>
              <w:spacing w:before="0" w:after="283"/>
              <w:jc w:val="center"/>
              <w:rPr/>
            </w:pPr>
            <w:r>
              <w:rPr/>
              <w:t> </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3390" w:type="dxa"/>
            <w:gridSpan w:val="7"/>
            <w:tcBorders/>
            <w:vAlign w:val="center"/>
          </w:tcPr>
          <w:p>
            <w:pPr>
              <w:pStyle w:val="TableContents"/>
              <w:bidi w:val="0"/>
              <w:spacing w:before="0" w:after="283"/>
              <w:jc w:val="center"/>
              <w:rPr/>
            </w:pPr>
            <w:r>
              <w:rPr>
                <w:rStyle w:val="StrongEmphasis"/>
              </w:rPr>
              <w:t>Three Months Ended</w:t>
            </w:r>
          </w:p>
        </w:tc>
        <w:tc>
          <w:tcPr>
            <w:tcW w:w="152" w:type="dxa"/>
            <w:tcBorders/>
            <w:vAlign w:val="center"/>
          </w:tcPr>
          <w:p>
            <w:pPr>
              <w:pStyle w:val="TableContents"/>
              <w:bidi w:val="0"/>
              <w:spacing w:before="0" w:after="283"/>
              <w:jc w:val="center"/>
              <w:rPr/>
            </w:pPr>
            <w:r>
              <w:rPr/>
              <w:t> </w:t>
            </w:r>
          </w:p>
        </w:tc>
        <w:tc>
          <w:tcPr>
            <w:tcW w:w="3311" w:type="dxa"/>
            <w:gridSpan w:val="7"/>
            <w:tcBorders/>
            <w:vAlign w:val="center"/>
          </w:tcPr>
          <w:p>
            <w:pPr>
              <w:pStyle w:val="TableContents"/>
              <w:bidi w:val="0"/>
              <w:spacing w:before="0" w:after="283"/>
              <w:jc w:val="center"/>
              <w:rPr/>
            </w:pPr>
            <w:r>
              <w:rPr>
                <w:rStyle w:val="StrongEmphasis"/>
              </w:rPr>
              <w:t>Six Months Ended</w:t>
            </w:r>
          </w:p>
        </w:tc>
      </w:tr>
      <w:tr>
        <w:trPr/>
        <w:tc>
          <w:tcPr>
            <w:tcW w:w="3188" w:type="dxa"/>
            <w:vMerge w:val="restart"/>
            <w:tcBorders/>
            <w:vAlign w:val="center"/>
          </w:tcPr>
          <w:p>
            <w:pPr>
              <w:pStyle w:val="TableContents"/>
              <w:bidi w:val="0"/>
              <w:spacing w:before="0" w:after="283"/>
              <w:jc w:val="left"/>
              <w:rPr/>
            </w:pPr>
            <w:r>
              <w:rPr>
                <w:rStyle w:val="StrongEmphasis"/>
              </w:rPr>
              <w:t>(In thousands)</w:t>
            </w:r>
          </w:p>
        </w:tc>
        <w:tc>
          <w:tcPr>
            <w:tcW w:w="164" w:type="dxa"/>
            <w:tcBorders/>
            <w:vAlign w:val="center"/>
          </w:tcPr>
          <w:p>
            <w:pPr>
              <w:pStyle w:val="TableContents"/>
              <w:bidi w:val="0"/>
              <w:spacing w:before="0" w:after="283"/>
              <w:jc w:val="left"/>
              <w:rPr/>
            </w:pPr>
            <w:r>
              <w:rPr/>
              <w:t> </w:t>
            </w:r>
          </w:p>
        </w:tc>
        <w:tc>
          <w:tcPr>
            <w:tcW w:w="3390"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w:t>
            </w:r>
          </w:p>
        </w:tc>
        <w:tc>
          <w:tcPr>
            <w:tcW w:w="152" w:type="dxa"/>
            <w:tcBorders/>
            <w:vAlign w:val="center"/>
          </w:tcPr>
          <w:p>
            <w:pPr>
              <w:pStyle w:val="TableContents"/>
              <w:bidi w:val="0"/>
              <w:spacing w:before="0" w:after="283"/>
              <w:jc w:val="center"/>
              <w:rPr/>
            </w:pPr>
            <w:r>
              <w:rPr/>
              <w:t> </w:t>
            </w:r>
          </w:p>
        </w:tc>
        <w:tc>
          <w:tcPr>
            <w:tcW w:w="3311"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w:t>
            </w:r>
          </w:p>
        </w:tc>
      </w:tr>
      <w:tr>
        <w:trPr/>
        <w:tc>
          <w:tcPr>
            <w:tcW w:w="3188" w:type="dxa"/>
            <w:vMerge w:val="continue"/>
            <w:tcBorders/>
            <w:vAlign w:val="center"/>
          </w:tcPr>
          <w:p>
            <w:pPr>
              <w:pStyle w:val="Normal"/>
              <w:bidi w:val="0"/>
              <w:jc w:val="left"/>
              <w:rPr/>
            </w:pPr>
            <w:r>
              <w:rPr/>
            </w:r>
          </w:p>
        </w:tc>
        <w:tc>
          <w:tcPr>
            <w:tcW w:w="164" w:type="dxa"/>
            <w:tcBorders/>
            <w:vAlign w:val="center"/>
          </w:tcPr>
          <w:p>
            <w:pPr>
              <w:pStyle w:val="TableContents"/>
              <w:bidi w:val="0"/>
              <w:spacing w:before="0" w:after="283"/>
              <w:jc w:val="center"/>
              <w:rPr/>
            </w:pPr>
            <w:r>
              <w:rPr/>
              <w:t> </w:t>
            </w:r>
          </w:p>
        </w:tc>
        <w:tc>
          <w:tcPr>
            <w:tcW w:w="167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64" w:type="dxa"/>
            <w:tcBorders/>
            <w:vAlign w:val="center"/>
          </w:tcPr>
          <w:p>
            <w:pPr>
              <w:pStyle w:val="TableContents"/>
              <w:bidi w:val="0"/>
              <w:spacing w:before="0" w:after="283"/>
              <w:jc w:val="center"/>
              <w:rPr/>
            </w:pPr>
            <w:r>
              <w:rPr/>
              <w:t> </w:t>
            </w:r>
          </w:p>
        </w:tc>
        <w:tc>
          <w:tcPr>
            <w:tcW w:w="155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52" w:type="dxa"/>
            <w:tcBorders/>
            <w:vAlign w:val="center"/>
          </w:tcPr>
          <w:p>
            <w:pPr>
              <w:pStyle w:val="TableContents"/>
              <w:bidi w:val="0"/>
              <w:spacing w:before="0" w:after="283"/>
              <w:jc w:val="center"/>
              <w:rPr/>
            </w:pPr>
            <w:r>
              <w:rPr/>
              <w:t> </w:t>
            </w:r>
          </w:p>
        </w:tc>
        <w:tc>
          <w:tcPr>
            <w:tcW w:w="15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52" w:type="dxa"/>
            <w:tcBorders/>
            <w:vAlign w:val="center"/>
          </w:tcPr>
          <w:p>
            <w:pPr>
              <w:pStyle w:val="TableContents"/>
              <w:bidi w:val="0"/>
              <w:spacing w:before="0" w:after="283"/>
              <w:jc w:val="center"/>
              <w:rPr/>
            </w:pPr>
            <w:r>
              <w:rPr/>
              <w:t> </w:t>
            </w:r>
          </w:p>
        </w:tc>
        <w:tc>
          <w:tcPr>
            <w:tcW w:w="160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r>
      <w:tr>
        <w:trPr/>
        <w:tc>
          <w:tcPr>
            <w:tcW w:w="3188" w:type="dxa"/>
            <w:tcBorders/>
            <w:vAlign w:val="center"/>
          </w:tcPr>
          <w:p>
            <w:pPr>
              <w:pStyle w:val="TableContents"/>
              <w:bidi w:val="0"/>
              <w:spacing w:before="0" w:after="283"/>
              <w:jc w:val="left"/>
              <w:rPr/>
            </w:pPr>
            <w:r>
              <w:rPr>
                <w:rStyle w:val="StrongEmphasis"/>
              </w:rPr>
              <w:t>DME channel:</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right"/>
              <w:rPr/>
            </w:pPr>
            <w:r>
              <w:rPr/>
              <w:t> </w:t>
            </w:r>
          </w:p>
        </w:tc>
      </w:tr>
      <w:tr>
        <w:trPr/>
        <w:tc>
          <w:tcPr>
            <w:tcW w:w="3188" w:type="dxa"/>
            <w:tcBorders/>
            <w:vAlign w:val="center"/>
          </w:tcPr>
          <w:p>
            <w:pPr>
              <w:pStyle w:val="TableContents"/>
              <w:bidi w:val="0"/>
              <w:spacing w:before="0" w:after="283"/>
              <w:jc w:val="left"/>
              <w:rPr/>
            </w:pPr>
            <w:r>
              <w:rPr/>
              <w:t>iLet</w:t>
            </w:r>
            <w:r>
              <w:rPr>
                <w:position w:val="8"/>
                <w:sz w:val="19"/>
              </w:rPr>
              <w:t>(1)</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jc w:val="right"/>
              <w:rPr/>
            </w:pPr>
            <w:r>
              <w:rPr/>
              <w:t>12,651</w:t>
            </w:r>
          </w:p>
        </w:tc>
        <w:tc>
          <w:tcPr>
            <w:tcW w:w="339"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w:t>
            </w:r>
          </w:p>
        </w:tc>
        <w:tc>
          <w:tcPr>
            <w:tcW w:w="975" w:type="dxa"/>
            <w:tcBorders/>
            <w:vAlign w:val="center"/>
          </w:tcPr>
          <w:p>
            <w:pPr>
              <w:pStyle w:val="TableContents"/>
              <w:bidi w:val="0"/>
              <w:spacing w:before="0" w:after="283"/>
              <w:jc w:val="right"/>
              <w:rPr/>
            </w:pPr>
            <w:r>
              <w:rPr/>
              <w:t>13,414</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w:t>
            </w:r>
          </w:p>
        </w:tc>
        <w:tc>
          <w:tcPr>
            <w:tcW w:w="1002" w:type="dxa"/>
            <w:tcBorders/>
            <w:vAlign w:val="center"/>
          </w:tcPr>
          <w:p>
            <w:pPr>
              <w:pStyle w:val="TableContents"/>
              <w:bidi w:val="0"/>
              <w:spacing w:before="0" w:after="283"/>
              <w:jc w:val="right"/>
              <w:rPr/>
            </w:pPr>
            <w:r>
              <w:rPr/>
              <w:t>22,740</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w:t>
            </w:r>
          </w:p>
        </w:tc>
        <w:tc>
          <w:tcPr>
            <w:tcW w:w="1003" w:type="dxa"/>
            <w:tcBorders/>
            <w:vAlign w:val="center"/>
          </w:tcPr>
          <w:p>
            <w:pPr>
              <w:pStyle w:val="TableContents"/>
              <w:bidi w:val="0"/>
              <w:spacing w:before="0" w:after="283"/>
              <w:jc w:val="right"/>
              <w:rPr/>
            </w:pPr>
            <w:r>
              <w:rPr/>
              <w:t>23,042</w:t>
            </w:r>
          </w:p>
        </w:tc>
        <w:tc>
          <w:tcPr>
            <w:tcW w:w="370" w:type="dxa"/>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Single-use products</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7,762</w:t>
            </w:r>
          </w:p>
        </w:tc>
        <w:tc>
          <w:tcPr>
            <w:tcW w:w="339"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rStyle w:val="StrongEmphasis"/>
              </w:rPr>
              <w:t> </w:t>
            </w:r>
          </w:p>
        </w:tc>
        <w:tc>
          <w:tcPr>
            <w:tcW w:w="26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5,230</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rStyle w:val="StrongEmphasis"/>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14,596</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rStyle w:val="StrongEmphasis"/>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9,429</w:t>
            </w:r>
          </w:p>
        </w:tc>
        <w:tc>
          <w:tcPr>
            <w:tcW w:w="370" w:type="dxa"/>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Total DME channel</w:t>
            </w:r>
          </w:p>
        </w:tc>
        <w:tc>
          <w:tcPr>
            <w:tcW w:w="164" w:type="dxa"/>
            <w:tcBorders/>
            <w:vAlign w:val="center"/>
          </w:tcPr>
          <w:p>
            <w:pPr>
              <w:pStyle w:val="TableContents"/>
              <w:bidi w:val="0"/>
              <w:spacing w:before="0" w:after="283"/>
              <w:jc w:val="left"/>
              <w:rPr/>
            </w:pPr>
            <w:r>
              <w:rPr/>
              <w:t> </w:t>
            </w:r>
          </w:p>
        </w:tc>
        <w:tc>
          <w:tcPr>
            <w:tcW w:w="28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05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20,413</w:t>
            </w:r>
          </w:p>
        </w:tc>
        <w:tc>
          <w:tcPr>
            <w:tcW w:w="33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7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18,644</w:t>
            </w:r>
          </w:p>
        </w:tc>
        <w:tc>
          <w:tcPr>
            <w:tcW w:w="31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00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37,336</w:t>
            </w:r>
          </w:p>
        </w:tc>
        <w:tc>
          <w:tcPr>
            <w:tcW w:w="31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00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32,471</w:t>
            </w:r>
          </w:p>
        </w:tc>
        <w:tc>
          <w:tcPr>
            <w:tcW w:w="37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rStyle w:val="StrongEmphasis"/>
              </w:rPr>
              <w:t>PBP channel:</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iLet</w:t>
            </w:r>
            <w:r>
              <w:rPr>
                <w:position w:val="8"/>
                <w:sz w:val="19"/>
              </w:rPr>
              <w:t>(1)</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221</w:t>
            </w:r>
          </w:p>
        </w:tc>
        <w:tc>
          <w:tcPr>
            <w:tcW w:w="339"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205</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686</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711</w:t>
            </w:r>
          </w:p>
        </w:tc>
        <w:tc>
          <w:tcPr>
            <w:tcW w:w="370" w:type="dxa"/>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Single-use products</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11,379</w:t>
            </w:r>
          </w:p>
        </w:tc>
        <w:tc>
          <w:tcPr>
            <w:tcW w:w="339"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4,389</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21,617</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7,695</w:t>
            </w:r>
          </w:p>
        </w:tc>
        <w:tc>
          <w:tcPr>
            <w:tcW w:w="370" w:type="dxa"/>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Total PBP channel</w:t>
            </w:r>
          </w:p>
        </w:tc>
        <w:tc>
          <w:tcPr>
            <w:tcW w:w="164" w:type="dxa"/>
            <w:tcBorders/>
            <w:vAlign w:val="center"/>
          </w:tcPr>
          <w:p>
            <w:pPr>
              <w:pStyle w:val="TableContents"/>
              <w:bidi w:val="0"/>
              <w:spacing w:before="0" w:after="283"/>
              <w:jc w:val="left"/>
              <w:rPr/>
            </w:pPr>
            <w:r>
              <w:rPr/>
              <w:t> </w:t>
            </w:r>
          </w:p>
        </w:tc>
        <w:tc>
          <w:tcPr>
            <w:tcW w:w="2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0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11,600</w:t>
            </w:r>
          </w:p>
        </w:tc>
        <w:tc>
          <w:tcPr>
            <w:tcW w:w="3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7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4,594</w:t>
            </w:r>
          </w:p>
        </w:tc>
        <w:tc>
          <w:tcPr>
            <w:tcW w:w="3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00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22,303</w:t>
            </w:r>
          </w:p>
        </w:tc>
        <w:tc>
          <w:tcPr>
            <w:tcW w:w="3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00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8,406</w:t>
            </w:r>
          </w:p>
        </w:tc>
        <w:tc>
          <w:tcPr>
            <w:tcW w:w="3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rStyle w:val="StrongEmphasis"/>
              </w:rPr>
              <w:t>Total net sales</w:t>
            </w:r>
          </w:p>
        </w:tc>
        <w:tc>
          <w:tcPr>
            <w:tcW w:w="164" w:type="dxa"/>
            <w:tcBorders/>
            <w:vAlign w:val="center"/>
          </w:tcPr>
          <w:p>
            <w:pPr>
              <w:pStyle w:val="TableContents"/>
              <w:bidi w:val="0"/>
              <w:spacing w:before="0" w:after="283"/>
              <w:jc w:val="left"/>
              <w:rPr/>
            </w:pPr>
            <w:r>
              <w:rPr/>
              <w:t> </w:t>
            </w:r>
          </w:p>
        </w:tc>
        <w:tc>
          <w:tcPr>
            <w:tcW w:w="28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05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 xml:space="preserve">32,013 </w:t>
            </w:r>
          </w:p>
        </w:tc>
        <w:tc>
          <w:tcPr>
            <w:tcW w:w="33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right"/>
              <w:rPr/>
            </w:pPr>
            <w:r>
              <w:rPr/>
              <w:t> </w:t>
            </w:r>
          </w:p>
        </w:tc>
        <w:tc>
          <w:tcPr>
            <w:tcW w:w="26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97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 xml:space="preserve">23,238 </w:t>
            </w:r>
          </w:p>
        </w:tc>
        <w:tc>
          <w:tcPr>
            <w:tcW w:w="314"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00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 xml:space="preserve">59,639 </w:t>
            </w:r>
          </w:p>
        </w:tc>
        <w:tc>
          <w:tcPr>
            <w:tcW w:w="314"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00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 xml:space="preserve">40,877 </w:t>
            </w:r>
          </w:p>
        </w:tc>
        <w:tc>
          <w:tcPr>
            <w:tcW w:w="37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205" w:type="dxa"/>
            <w:gridSpan w:val="17"/>
            <w:tcBorders/>
            <w:vAlign w:val="center"/>
          </w:tcPr>
          <w:p>
            <w:pPr>
              <w:pStyle w:val="TableContents"/>
              <w:bidi w:val="0"/>
              <w:spacing w:before="0" w:after="283"/>
              <w:jc w:val="left"/>
              <w:rPr/>
            </w:pPr>
            <w:r>
              <w:rPr>
                <w:position w:val="8"/>
                <w:sz w:val="19"/>
              </w:rPr>
              <w:t>(1)</w:t>
            </w:r>
            <w:r>
              <w:rPr/>
              <w:t>iLet includes the over-time recognition software updates and mobile app access.</w:t>
            </w:r>
          </w:p>
        </w:tc>
      </w:tr>
      <w:tr>
        <w:trPr/>
        <w:tc>
          <w:tcPr>
            <w:tcW w:w="318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10205" w:type="dxa"/>
            <w:gridSpan w:val="17"/>
            <w:tcBorders/>
            <w:vAlign w:val="center"/>
          </w:tcPr>
          <w:p>
            <w:pPr>
              <w:pStyle w:val="TableContents"/>
              <w:bidi w:val="0"/>
              <w:spacing w:before="0" w:after="283"/>
              <w:jc w:val="center"/>
              <w:rPr/>
            </w:pPr>
            <w:r>
              <w:rPr>
                <w:rStyle w:val="StrongEmphasis"/>
              </w:rPr>
              <w:t>Beta Bionics, Inc.</w:t>
            </w:r>
          </w:p>
        </w:tc>
      </w:tr>
      <w:tr>
        <w:trPr/>
        <w:tc>
          <w:tcPr>
            <w:tcW w:w="10205" w:type="dxa"/>
            <w:gridSpan w:val="17"/>
            <w:tcBorders/>
            <w:vAlign w:val="center"/>
          </w:tcPr>
          <w:p>
            <w:pPr>
              <w:pStyle w:val="TableContents"/>
              <w:bidi w:val="0"/>
              <w:spacing w:before="0" w:after="283"/>
              <w:jc w:val="center"/>
              <w:rPr/>
            </w:pPr>
            <w:r>
              <w:rPr>
                <w:rStyle w:val="StrongEmphasis"/>
              </w:rPr>
              <w:t>Reconciliation of GAAP versus Non-GAAP Financial Results (unaudited)</w:t>
            </w:r>
          </w:p>
        </w:tc>
      </w:tr>
      <w:tr>
        <w:trPr/>
        <w:tc>
          <w:tcPr>
            <w:tcW w:w="10205" w:type="dxa"/>
            <w:gridSpan w:val="17"/>
            <w:tcBorders/>
            <w:vAlign w:val="center"/>
          </w:tcPr>
          <w:p>
            <w:pPr>
              <w:pStyle w:val="TableContents"/>
              <w:bidi w:val="0"/>
              <w:spacing w:before="0" w:after="283"/>
              <w:jc w:val="center"/>
              <w:rPr/>
            </w:pPr>
            <w:r>
              <w:rPr>
                <w:rStyle w:val="StrongEmphasis"/>
              </w:rPr>
              <w:t>Table D</w:t>
            </w:r>
          </w:p>
        </w:tc>
      </w:tr>
      <w:tr>
        <w:trPr/>
        <w:tc>
          <w:tcPr>
            <w:tcW w:w="3188" w:type="dxa"/>
            <w:tcBorders/>
            <w:vAlign w:val="center"/>
          </w:tcPr>
          <w:p>
            <w:pPr>
              <w:pStyle w:val="TableContents"/>
              <w:bidi w:val="0"/>
              <w:spacing w:before="0" w:after="283"/>
              <w:jc w:val="center"/>
              <w:rPr/>
            </w:pPr>
            <w:r>
              <w:rPr/>
              <w:t> </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3390" w:type="dxa"/>
            <w:gridSpan w:val="7"/>
            <w:tcBorders/>
            <w:vAlign w:val="center"/>
          </w:tcPr>
          <w:p>
            <w:pPr>
              <w:pStyle w:val="TableContents"/>
              <w:bidi w:val="0"/>
              <w:spacing w:before="0" w:after="283"/>
              <w:jc w:val="center"/>
              <w:rPr/>
            </w:pPr>
            <w:r>
              <w:rPr>
                <w:rStyle w:val="StrongEmphasis"/>
              </w:rPr>
              <w:t>Three Months Ended</w:t>
            </w:r>
          </w:p>
        </w:tc>
        <w:tc>
          <w:tcPr>
            <w:tcW w:w="152" w:type="dxa"/>
            <w:tcBorders/>
            <w:vAlign w:val="center"/>
          </w:tcPr>
          <w:p>
            <w:pPr>
              <w:pStyle w:val="TableContents"/>
              <w:bidi w:val="0"/>
              <w:spacing w:before="0" w:after="283"/>
              <w:jc w:val="center"/>
              <w:rPr/>
            </w:pPr>
            <w:r>
              <w:rPr/>
              <w:t> </w:t>
            </w:r>
          </w:p>
        </w:tc>
        <w:tc>
          <w:tcPr>
            <w:tcW w:w="3311" w:type="dxa"/>
            <w:gridSpan w:val="7"/>
            <w:tcBorders/>
            <w:vAlign w:val="center"/>
          </w:tcPr>
          <w:p>
            <w:pPr>
              <w:pStyle w:val="TableContents"/>
              <w:bidi w:val="0"/>
              <w:spacing w:before="0" w:after="283"/>
              <w:jc w:val="center"/>
              <w:rPr/>
            </w:pPr>
            <w:r>
              <w:rPr>
                <w:rStyle w:val="StrongEmphasis"/>
              </w:rPr>
              <w:t>Six Months Ended</w:t>
            </w:r>
          </w:p>
        </w:tc>
      </w:tr>
      <w:tr>
        <w:trPr/>
        <w:tc>
          <w:tcPr>
            <w:tcW w:w="3188" w:type="dxa"/>
            <w:vMerge w:val="restart"/>
            <w:tcBorders/>
            <w:vAlign w:val="center"/>
          </w:tcPr>
          <w:p>
            <w:pPr>
              <w:pStyle w:val="TableContents"/>
              <w:bidi w:val="0"/>
              <w:spacing w:before="0" w:after="283"/>
              <w:jc w:val="left"/>
              <w:rPr/>
            </w:pPr>
            <w:r>
              <w:rPr>
                <w:rStyle w:val="StrongEmphasis"/>
              </w:rPr>
              <w:t>(In thousands)</w:t>
            </w:r>
          </w:p>
        </w:tc>
        <w:tc>
          <w:tcPr>
            <w:tcW w:w="164" w:type="dxa"/>
            <w:tcBorders/>
            <w:vAlign w:val="center"/>
          </w:tcPr>
          <w:p>
            <w:pPr>
              <w:pStyle w:val="TableContents"/>
              <w:bidi w:val="0"/>
              <w:spacing w:before="0" w:after="283"/>
              <w:jc w:val="left"/>
              <w:rPr/>
            </w:pPr>
            <w:r>
              <w:rPr/>
              <w:t> </w:t>
            </w:r>
          </w:p>
        </w:tc>
        <w:tc>
          <w:tcPr>
            <w:tcW w:w="3390"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w:t>
            </w:r>
          </w:p>
        </w:tc>
        <w:tc>
          <w:tcPr>
            <w:tcW w:w="152" w:type="dxa"/>
            <w:tcBorders/>
            <w:vAlign w:val="center"/>
          </w:tcPr>
          <w:p>
            <w:pPr>
              <w:pStyle w:val="TableContents"/>
              <w:bidi w:val="0"/>
              <w:spacing w:before="0" w:after="283"/>
              <w:jc w:val="center"/>
              <w:rPr/>
            </w:pPr>
            <w:r>
              <w:rPr/>
              <w:t> </w:t>
            </w:r>
          </w:p>
        </w:tc>
        <w:tc>
          <w:tcPr>
            <w:tcW w:w="3311"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w:t>
            </w:r>
          </w:p>
        </w:tc>
      </w:tr>
      <w:tr>
        <w:trPr/>
        <w:tc>
          <w:tcPr>
            <w:tcW w:w="3188" w:type="dxa"/>
            <w:vMerge w:val="continue"/>
            <w:tcBorders/>
            <w:vAlign w:val="center"/>
          </w:tcPr>
          <w:p>
            <w:pPr>
              <w:pStyle w:val="Normal"/>
              <w:bidi w:val="0"/>
              <w:jc w:val="left"/>
              <w:rPr/>
            </w:pPr>
            <w:r>
              <w:rPr/>
            </w:r>
          </w:p>
        </w:tc>
        <w:tc>
          <w:tcPr>
            <w:tcW w:w="164" w:type="dxa"/>
            <w:tcBorders/>
            <w:vAlign w:val="center"/>
          </w:tcPr>
          <w:p>
            <w:pPr>
              <w:pStyle w:val="TableContents"/>
              <w:bidi w:val="0"/>
              <w:spacing w:before="0" w:after="283"/>
              <w:jc w:val="center"/>
              <w:rPr/>
            </w:pPr>
            <w:r>
              <w:rPr/>
              <w:t> </w:t>
            </w:r>
          </w:p>
        </w:tc>
        <w:tc>
          <w:tcPr>
            <w:tcW w:w="167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64" w:type="dxa"/>
            <w:tcBorders/>
            <w:vAlign w:val="center"/>
          </w:tcPr>
          <w:p>
            <w:pPr>
              <w:pStyle w:val="TableContents"/>
              <w:bidi w:val="0"/>
              <w:spacing w:before="0" w:after="283"/>
              <w:jc w:val="center"/>
              <w:rPr/>
            </w:pPr>
            <w:r>
              <w:rPr/>
              <w:t> </w:t>
            </w:r>
          </w:p>
        </w:tc>
        <w:tc>
          <w:tcPr>
            <w:tcW w:w="155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52" w:type="dxa"/>
            <w:tcBorders/>
            <w:vAlign w:val="center"/>
          </w:tcPr>
          <w:p>
            <w:pPr>
              <w:pStyle w:val="TableContents"/>
              <w:bidi w:val="0"/>
              <w:spacing w:before="0" w:after="283"/>
              <w:jc w:val="center"/>
              <w:rPr/>
            </w:pPr>
            <w:r>
              <w:rPr/>
              <w:t> </w:t>
            </w:r>
          </w:p>
        </w:tc>
        <w:tc>
          <w:tcPr>
            <w:tcW w:w="15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52" w:type="dxa"/>
            <w:tcBorders/>
            <w:vAlign w:val="center"/>
          </w:tcPr>
          <w:p>
            <w:pPr>
              <w:pStyle w:val="TableContents"/>
              <w:bidi w:val="0"/>
              <w:spacing w:before="0" w:after="283"/>
              <w:jc w:val="center"/>
              <w:rPr/>
            </w:pPr>
            <w:r>
              <w:rPr/>
              <w:t> </w:t>
            </w:r>
          </w:p>
        </w:tc>
        <w:tc>
          <w:tcPr>
            <w:tcW w:w="160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r>
      <w:tr>
        <w:trPr/>
        <w:tc>
          <w:tcPr>
            <w:tcW w:w="3188" w:type="dxa"/>
            <w:tcBorders/>
            <w:vAlign w:val="center"/>
          </w:tcPr>
          <w:p>
            <w:pPr>
              <w:pStyle w:val="TableContents"/>
              <w:bidi w:val="0"/>
              <w:spacing w:before="0" w:after="283"/>
              <w:jc w:val="left"/>
              <w:rPr/>
            </w:pPr>
            <w:r>
              <w:rPr>
                <w:rStyle w:val="StrongEmphasis"/>
              </w:rPr>
              <w:t>Net loss</w:t>
            </w:r>
          </w:p>
        </w:tc>
        <w:tc>
          <w:tcPr>
            <w:tcW w:w="164" w:type="dxa"/>
            <w:tcBorders/>
            <w:vAlign w:val="center"/>
          </w:tcPr>
          <w:p>
            <w:pPr>
              <w:pStyle w:val="TableContents"/>
              <w:bidi w:val="0"/>
              <w:spacing w:before="0" w:after="283"/>
              <w:jc w:val="left"/>
              <w:rPr/>
            </w:pPr>
            <w:r>
              <w:rPr>
                <w:rStyle w:val="StrongEmphasis"/>
              </w:rPr>
              <w:t> </w:t>
            </w:r>
          </w:p>
        </w:tc>
        <w:tc>
          <w:tcPr>
            <w:tcW w:w="283" w:type="dxa"/>
            <w:tcBorders/>
            <w:vAlign w:val="center"/>
          </w:tcPr>
          <w:p>
            <w:pPr>
              <w:pStyle w:val="TableContents"/>
              <w:bidi w:val="0"/>
              <w:spacing w:before="0" w:after="283"/>
              <w:jc w:val="left"/>
              <w:rPr/>
            </w:pPr>
            <w:r>
              <w:rPr>
                <w:rStyle w:val="StrongEmphasis"/>
              </w:rPr>
              <w:t>$</w:t>
            </w:r>
          </w:p>
        </w:tc>
        <w:tc>
          <w:tcPr>
            <w:tcW w:w="1054" w:type="dxa"/>
            <w:tcBorders/>
            <w:vAlign w:val="center"/>
          </w:tcPr>
          <w:p>
            <w:pPr>
              <w:pStyle w:val="TableContents"/>
              <w:bidi w:val="0"/>
              <w:spacing w:before="0" w:after="283"/>
              <w:jc w:val="right"/>
              <w:rPr/>
            </w:pPr>
            <w:r>
              <w:rPr>
                <w:rStyle w:val="StrongEmphasis"/>
              </w:rPr>
              <w:t>(23,403</w:t>
            </w:r>
          </w:p>
        </w:tc>
        <w:tc>
          <w:tcPr>
            <w:tcW w:w="339" w:type="dxa"/>
            <w:tcBorders/>
            <w:vAlign w:val="center"/>
          </w:tcPr>
          <w:p>
            <w:pPr>
              <w:pStyle w:val="TableContents"/>
              <w:bidi w:val="0"/>
              <w:spacing w:before="0" w:after="283"/>
              <w:jc w:val="left"/>
              <w:rPr/>
            </w:pPr>
            <w:r>
              <w:rPr>
                <w:rStyle w:val="StrongEmphasis"/>
              </w:rPr>
              <w:t>)</w:t>
            </w:r>
          </w:p>
        </w:tc>
        <w:tc>
          <w:tcPr>
            <w:tcW w:w="164" w:type="dxa"/>
            <w:tcBorders/>
            <w:vAlign w:val="center"/>
          </w:tcPr>
          <w:p>
            <w:pPr>
              <w:pStyle w:val="TableContents"/>
              <w:bidi w:val="0"/>
              <w:spacing w:before="0" w:after="283"/>
              <w:jc w:val="left"/>
              <w:rPr/>
            </w:pPr>
            <w:r>
              <w:rPr>
                <w:rStyle w:val="StrongEmphasis"/>
              </w:rPr>
              <w:t> </w:t>
            </w:r>
          </w:p>
        </w:tc>
        <w:tc>
          <w:tcPr>
            <w:tcW w:w="261" w:type="dxa"/>
            <w:tcBorders/>
            <w:vAlign w:val="center"/>
          </w:tcPr>
          <w:p>
            <w:pPr>
              <w:pStyle w:val="TableContents"/>
              <w:bidi w:val="0"/>
              <w:spacing w:before="0" w:after="283"/>
              <w:jc w:val="left"/>
              <w:rPr/>
            </w:pPr>
            <w:r>
              <w:rPr>
                <w:rStyle w:val="StrongEmphasis"/>
              </w:rPr>
              <w:t>$</w:t>
            </w:r>
          </w:p>
        </w:tc>
        <w:tc>
          <w:tcPr>
            <w:tcW w:w="975" w:type="dxa"/>
            <w:tcBorders/>
            <w:vAlign w:val="center"/>
          </w:tcPr>
          <w:p>
            <w:pPr>
              <w:pStyle w:val="TableContents"/>
              <w:bidi w:val="0"/>
              <w:spacing w:before="0" w:after="283"/>
              <w:jc w:val="right"/>
              <w:rPr/>
            </w:pPr>
            <w:r>
              <w:rPr>
                <w:rStyle w:val="StrongEmphasis"/>
              </w:rPr>
              <w:t>(16,869</w:t>
            </w:r>
          </w:p>
        </w:tc>
        <w:tc>
          <w:tcPr>
            <w:tcW w:w="314" w:type="dxa"/>
            <w:tcBorders/>
            <w:vAlign w:val="center"/>
          </w:tcPr>
          <w:p>
            <w:pPr>
              <w:pStyle w:val="TableContents"/>
              <w:bidi w:val="0"/>
              <w:spacing w:before="0" w:after="283"/>
              <w:jc w:val="left"/>
              <w:rPr/>
            </w:pPr>
            <w:r>
              <w:rPr>
                <w:rStyle w:val="StrongEmphasis"/>
              </w:rPr>
              <w:t>)</w:t>
            </w:r>
          </w:p>
        </w:tc>
        <w:tc>
          <w:tcPr>
            <w:tcW w:w="152" w:type="dxa"/>
            <w:tcBorders/>
            <w:vAlign w:val="center"/>
          </w:tcPr>
          <w:p>
            <w:pPr>
              <w:pStyle w:val="TableContents"/>
              <w:bidi w:val="0"/>
              <w:spacing w:before="0" w:after="283"/>
              <w:jc w:val="left"/>
              <w:rPr/>
            </w:pPr>
            <w:r>
              <w:rPr>
                <w:rStyle w:val="StrongEmphasis"/>
              </w:rPr>
              <w:t> </w:t>
            </w:r>
          </w:p>
        </w:tc>
        <w:tc>
          <w:tcPr>
            <w:tcW w:w="235" w:type="dxa"/>
            <w:tcBorders/>
            <w:vAlign w:val="center"/>
          </w:tcPr>
          <w:p>
            <w:pPr>
              <w:pStyle w:val="TableContents"/>
              <w:bidi w:val="0"/>
              <w:spacing w:before="0" w:after="283"/>
              <w:jc w:val="left"/>
              <w:rPr/>
            </w:pPr>
            <w:r>
              <w:rPr>
                <w:rStyle w:val="StrongEmphasis"/>
              </w:rPr>
              <w:t>$</w:t>
            </w:r>
          </w:p>
        </w:tc>
        <w:tc>
          <w:tcPr>
            <w:tcW w:w="1002" w:type="dxa"/>
            <w:tcBorders/>
            <w:vAlign w:val="center"/>
          </w:tcPr>
          <w:p>
            <w:pPr>
              <w:pStyle w:val="TableContents"/>
              <w:bidi w:val="0"/>
              <w:spacing w:before="0" w:after="283"/>
              <w:jc w:val="right"/>
              <w:rPr/>
            </w:pPr>
            <w:r>
              <w:rPr>
                <w:rStyle w:val="StrongEmphasis"/>
              </w:rPr>
              <w:t>(45,298</w:t>
            </w:r>
          </w:p>
        </w:tc>
        <w:tc>
          <w:tcPr>
            <w:tcW w:w="314" w:type="dxa"/>
            <w:tcBorders/>
            <w:vAlign w:val="center"/>
          </w:tcPr>
          <w:p>
            <w:pPr>
              <w:pStyle w:val="TableContents"/>
              <w:bidi w:val="0"/>
              <w:spacing w:before="0" w:after="283"/>
              <w:jc w:val="left"/>
              <w:rPr/>
            </w:pPr>
            <w:r>
              <w:rPr>
                <w:rStyle w:val="StrongEmphasis"/>
              </w:rPr>
              <w:t>)</w:t>
            </w:r>
          </w:p>
        </w:tc>
        <w:tc>
          <w:tcPr>
            <w:tcW w:w="152" w:type="dxa"/>
            <w:tcBorders/>
            <w:vAlign w:val="center"/>
          </w:tcPr>
          <w:p>
            <w:pPr>
              <w:pStyle w:val="TableContents"/>
              <w:bidi w:val="0"/>
              <w:spacing w:before="0" w:after="283"/>
              <w:jc w:val="left"/>
              <w:rPr/>
            </w:pPr>
            <w:r>
              <w:rPr>
                <w:rStyle w:val="StrongEmphasis"/>
              </w:rPr>
              <w:t> </w:t>
            </w:r>
          </w:p>
        </w:tc>
        <w:tc>
          <w:tcPr>
            <w:tcW w:w="235" w:type="dxa"/>
            <w:tcBorders/>
            <w:vAlign w:val="center"/>
          </w:tcPr>
          <w:p>
            <w:pPr>
              <w:pStyle w:val="TableContents"/>
              <w:bidi w:val="0"/>
              <w:spacing w:before="0" w:after="283"/>
              <w:jc w:val="left"/>
              <w:rPr/>
            </w:pPr>
            <w:r>
              <w:rPr>
                <w:rStyle w:val="StrongEmphasis"/>
              </w:rPr>
              <w:t>$</w:t>
            </w:r>
          </w:p>
        </w:tc>
        <w:tc>
          <w:tcPr>
            <w:tcW w:w="1003" w:type="dxa"/>
            <w:tcBorders/>
            <w:vAlign w:val="center"/>
          </w:tcPr>
          <w:p>
            <w:pPr>
              <w:pStyle w:val="TableContents"/>
              <w:bidi w:val="0"/>
              <w:spacing w:before="0" w:after="283"/>
              <w:jc w:val="right"/>
              <w:rPr/>
            </w:pPr>
            <w:r>
              <w:rPr>
                <w:rStyle w:val="StrongEmphasis"/>
              </w:rPr>
              <w:t>(45,525</w:t>
            </w:r>
          </w:p>
        </w:tc>
        <w:tc>
          <w:tcPr>
            <w:tcW w:w="370" w:type="dxa"/>
            <w:tcBorders/>
            <w:vAlign w:val="center"/>
          </w:tcPr>
          <w:p>
            <w:pPr>
              <w:pStyle w:val="TableContents"/>
              <w:bidi w:val="0"/>
              <w:spacing w:before="0" w:after="283"/>
              <w:jc w:val="left"/>
              <w:rPr/>
            </w:pPr>
            <w:r>
              <w:rPr>
                <w:rStyle w:val="StrongEmphasis"/>
              </w:rPr>
              <w:t>)</w:t>
            </w:r>
          </w:p>
        </w:tc>
      </w:tr>
      <w:tr>
        <w:trPr/>
        <w:tc>
          <w:tcPr>
            <w:tcW w:w="3188" w:type="dxa"/>
            <w:tcBorders/>
            <w:vAlign w:val="center"/>
          </w:tcPr>
          <w:p>
            <w:pPr>
              <w:pStyle w:val="TableContents"/>
              <w:bidi w:val="0"/>
              <w:spacing w:before="0" w:after="283"/>
              <w:jc w:val="left"/>
              <w:rPr/>
            </w:pPr>
            <w:r>
              <w:rPr>
                <w:rStyle w:val="StrongEmphasis"/>
              </w:rPr>
              <w:t>Add:</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Depreciation expense</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709</w:t>
            </w:r>
          </w:p>
        </w:tc>
        <w:tc>
          <w:tcPr>
            <w:tcW w:w="339"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347</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1,294</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650</w:t>
            </w:r>
          </w:p>
        </w:tc>
        <w:tc>
          <w:tcPr>
            <w:tcW w:w="370" w:type="dxa"/>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Stock-based compensation expense</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7,016</w:t>
            </w:r>
          </w:p>
        </w:tc>
        <w:tc>
          <w:tcPr>
            <w:tcW w:w="339"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4,799</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12,422</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7,603</w:t>
            </w:r>
          </w:p>
        </w:tc>
        <w:tc>
          <w:tcPr>
            <w:tcW w:w="370" w:type="dxa"/>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Interest income</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(2,177</w:t>
            </w:r>
          </w:p>
        </w:tc>
        <w:tc>
          <w:tcPr>
            <w:tcW w:w="33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(3,005</w:t>
            </w:r>
          </w:p>
        </w:tc>
        <w:tc>
          <w:tcPr>
            <w:tcW w:w="314"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(4,553</w:t>
            </w:r>
          </w:p>
        </w:tc>
        <w:tc>
          <w:tcPr>
            <w:tcW w:w="314"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(5,441</w:t>
            </w:r>
          </w:p>
        </w:tc>
        <w:tc>
          <w:tcPr>
            <w:tcW w:w="370" w:type="dxa"/>
            <w:tcBorders/>
            <w:vAlign w:val="center"/>
          </w:tcPr>
          <w:p>
            <w:pPr>
              <w:pStyle w:val="TableContents"/>
              <w:bidi w:val="0"/>
              <w:spacing w:before="0" w:after="283"/>
              <w:jc w:val="left"/>
              <w:rPr/>
            </w:pPr>
            <w:r>
              <w:rPr/>
              <w:t>)</w:t>
            </w:r>
          </w:p>
        </w:tc>
      </w:tr>
      <w:tr>
        <w:trPr/>
        <w:tc>
          <w:tcPr>
            <w:tcW w:w="3188" w:type="dxa"/>
            <w:tcBorders/>
            <w:vAlign w:val="center"/>
          </w:tcPr>
          <w:p>
            <w:pPr>
              <w:pStyle w:val="TableContents"/>
              <w:bidi w:val="0"/>
              <w:spacing w:before="0" w:after="283"/>
              <w:jc w:val="left"/>
              <w:rPr/>
            </w:pPr>
            <w:r>
              <w:rPr/>
              <w:t>Income tax expense</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2</w:t>
            </w:r>
          </w:p>
        </w:tc>
        <w:tc>
          <w:tcPr>
            <w:tcW w:w="339"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2</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2</w:t>
            </w:r>
          </w:p>
        </w:tc>
        <w:tc>
          <w:tcPr>
            <w:tcW w:w="370" w:type="dxa"/>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Litigation settlement and other related expense</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135</w:t>
            </w:r>
          </w:p>
        </w:tc>
        <w:tc>
          <w:tcPr>
            <w:tcW w:w="339"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200</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135</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200</w:t>
            </w:r>
          </w:p>
        </w:tc>
        <w:tc>
          <w:tcPr>
            <w:tcW w:w="370" w:type="dxa"/>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Quality system remediation</w:t>
            </w:r>
            <w:r>
              <w:rPr>
                <w:position w:val="8"/>
                <w:sz w:val="19"/>
              </w:rPr>
              <w:t>(1)</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62</w:t>
            </w:r>
          </w:p>
        </w:tc>
        <w:tc>
          <w:tcPr>
            <w:tcW w:w="339"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624</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370" w:type="dxa"/>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t>Change in fair value of warrant liabilities</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w:t>
            </w:r>
          </w:p>
        </w:tc>
        <w:tc>
          <w:tcPr>
            <w:tcW w:w="339"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w:t>
            </w:r>
          </w:p>
        </w:tc>
        <w:tc>
          <w:tcPr>
            <w:tcW w:w="31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12,450</w:t>
            </w:r>
          </w:p>
        </w:tc>
        <w:tc>
          <w:tcPr>
            <w:tcW w:w="370" w:type="dxa"/>
            <w:tcBorders/>
            <w:vAlign w:val="center"/>
          </w:tcPr>
          <w:p>
            <w:pPr>
              <w:pStyle w:val="TableContents"/>
              <w:bidi w:val="0"/>
              <w:spacing w:before="0" w:after="283"/>
              <w:jc w:val="left"/>
              <w:rPr/>
            </w:pPr>
            <w:r>
              <w:rPr/>
              <w:t> </w:t>
            </w:r>
          </w:p>
        </w:tc>
      </w:tr>
      <w:tr>
        <w:trPr/>
        <w:tc>
          <w:tcPr>
            <w:tcW w:w="3188" w:type="dxa"/>
            <w:tcBorders/>
            <w:vAlign w:val="center"/>
          </w:tcPr>
          <w:p>
            <w:pPr>
              <w:pStyle w:val="TableContents"/>
              <w:bidi w:val="0"/>
              <w:spacing w:before="0" w:after="283"/>
              <w:jc w:val="left"/>
              <w:rPr/>
            </w:pPr>
            <w:r>
              <w:rPr>
                <w:rStyle w:val="StrongEmphasis"/>
              </w:rPr>
              <w:t>Adjusted EBITDA</w:t>
            </w:r>
          </w:p>
        </w:tc>
        <w:tc>
          <w:tcPr>
            <w:tcW w:w="164" w:type="dxa"/>
            <w:tcBorders/>
            <w:vAlign w:val="center"/>
          </w:tcPr>
          <w:p>
            <w:pPr>
              <w:pStyle w:val="TableContents"/>
              <w:bidi w:val="0"/>
              <w:spacing w:before="0" w:after="283"/>
              <w:jc w:val="left"/>
              <w:rPr/>
            </w:pPr>
            <w:r>
              <w:rPr/>
              <w:t> </w:t>
            </w:r>
          </w:p>
        </w:tc>
        <w:tc>
          <w:tcPr>
            <w:tcW w:w="28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10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(17,656</w:t>
            </w:r>
          </w:p>
        </w:tc>
        <w:tc>
          <w:tcPr>
            <w:tcW w:w="3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164" w:type="dxa"/>
            <w:tcBorders/>
            <w:vAlign w:val="center"/>
          </w:tcPr>
          <w:p>
            <w:pPr>
              <w:pStyle w:val="TableContents"/>
              <w:bidi w:val="0"/>
              <w:spacing w:before="0" w:after="283"/>
              <w:jc w:val="right"/>
              <w:rPr/>
            </w:pPr>
            <w:r>
              <w:rPr/>
              <w:t> </w:t>
            </w:r>
          </w:p>
        </w:tc>
        <w:tc>
          <w:tcPr>
            <w:tcW w:w="2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97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(14,526</w:t>
            </w:r>
          </w:p>
        </w:tc>
        <w:tc>
          <w:tcPr>
            <w:tcW w:w="31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152" w:type="dxa"/>
            <w:tcBorders/>
            <w:vAlign w:val="center"/>
          </w:tcPr>
          <w:p>
            <w:pPr>
              <w:pStyle w:val="TableContents"/>
              <w:bidi w:val="0"/>
              <w:spacing w:before="0" w:after="283"/>
              <w:jc w:val="right"/>
              <w:rPr/>
            </w:pPr>
            <w:r>
              <w:rPr/>
              <w:t> </w:t>
            </w:r>
          </w:p>
        </w:tc>
        <w:tc>
          <w:tcPr>
            <w:tcW w:w="23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10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(35,374</w:t>
            </w:r>
          </w:p>
        </w:tc>
        <w:tc>
          <w:tcPr>
            <w:tcW w:w="31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152" w:type="dxa"/>
            <w:tcBorders/>
            <w:vAlign w:val="center"/>
          </w:tcPr>
          <w:p>
            <w:pPr>
              <w:pStyle w:val="TableContents"/>
              <w:bidi w:val="0"/>
              <w:spacing w:before="0" w:after="283"/>
              <w:jc w:val="right"/>
              <w:rPr/>
            </w:pPr>
            <w:r>
              <w:rPr/>
              <w:t> </w:t>
            </w:r>
          </w:p>
        </w:tc>
        <w:tc>
          <w:tcPr>
            <w:tcW w:w="23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100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(30,061</w:t>
            </w:r>
          </w:p>
        </w:tc>
        <w:tc>
          <w:tcPr>
            <w:tcW w:w="37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r>
      <w:tr>
        <w:trPr/>
        <w:tc>
          <w:tcPr>
            <w:tcW w:w="3188"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rStyle w:val="StrongEmphasis"/>
              </w:rPr>
              <w:t> </w:t>
            </w:r>
          </w:p>
        </w:tc>
        <w:tc>
          <w:tcPr>
            <w:tcW w:w="1316" w:type="dxa"/>
            <w:gridSpan w:val="2"/>
            <w:tcBorders/>
            <w:vAlign w:val="center"/>
          </w:tcPr>
          <w:p>
            <w:pPr>
              <w:pStyle w:val="TableContents"/>
              <w:bidi w:val="0"/>
              <w:spacing w:before="0" w:after="283"/>
              <w:jc w:val="left"/>
              <w:rPr/>
            </w:pPr>
            <w:r>
              <w:rPr>
                <w:rStyle w:val="StrongEmphasis"/>
              </w:rPr>
              <w:t> </w:t>
            </w:r>
          </w:p>
        </w:tc>
        <w:tc>
          <w:tcPr>
            <w:tcW w:w="152" w:type="dxa"/>
            <w:tcBorders/>
            <w:vAlign w:val="center"/>
          </w:tcPr>
          <w:p>
            <w:pPr>
              <w:pStyle w:val="TableContents"/>
              <w:bidi w:val="0"/>
              <w:spacing w:before="0" w:after="283"/>
              <w:jc w:val="left"/>
              <w:rPr/>
            </w:pPr>
            <w:r>
              <w:rPr>
                <w:rStyle w:val="StrongEmphasis"/>
              </w:rPr>
              <w:t> </w:t>
            </w:r>
          </w:p>
        </w:tc>
        <w:tc>
          <w:tcPr>
            <w:tcW w:w="235" w:type="dxa"/>
            <w:tcBorders/>
            <w:vAlign w:val="center"/>
          </w:tcPr>
          <w:p>
            <w:pPr>
              <w:pStyle w:val="TableContents"/>
              <w:bidi w:val="0"/>
              <w:spacing w:before="0" w:after="283"/>
              <w:jc w:val="left"/>
              <w:rPr/>
            </w:pPr>
            <w:r>
              <w:rPr>
                <w:rStyle w:val="StrongEmphasis"/>
              </w:rPr>
              <w:t> </w:t>
            </w:r>
          </w:p>
        </w:tc>
        <w:tc>
          <w:tcPr>
            <w:tcW w:w="1373" w:type="dxa"/>
            <w:gridSpan w:val="2"/>
            <w:tcBorders/>
            <w:vAlign w:val="center"/>
          </w:tcPr>
          <w:p>
            <w:pPr>
              <w:pStyle w:val="TableContents"/>
              <w:bidi w:val="0"/>
              <w:spacing w:before="0" w:after="283"/>
              <w:jc w:val="left"/>
              <w:rPr/>
            </w:pPr>
            <w:r>
              <w:rPr>
                <w:rStyle w:val="StrongEmphasis"/>
              </w:rPr>
              <w:t> </w:t>
            </w:r>
          </w:p>
        </w:tc>
      </w:tr>
      <w:tr>
        <w:trPr/>
        <w:tc>
          <w:tcPr>
            <w:tcW w:w="10205" w:type="dxa"/>
            <w:gridSpan w:val="17"/>
            <w:tcBorders/>
            <w:vAlign w:val="center"/>
          </w:tcPr>
          <w:p>
            <w:pPr>
              <w:pStyle w:val="TableContents"/>
              <w:bidi w:val="0"/>
              <w:spacing w:before="0" w:after="283"/>
              <w:jc w:val="left"/>
              <w:rPr/>
            </w:pPr>
            <w:r>
              <w:rPr>
                <w:position w:val="8"/>
                <w:sz w:val="19"/>
              </w:rPr>
              <w:t>(1)</w:t>
            </w:r>
            <w:r>
              <w:rPr/>
              <w:t>Amounts presented reflect the same category of expenses previously labeled "Other non-recurring" in our Form 10-K for the year ended December 31, 2025. These expenses relate to our one-time remediation efforts in response to the FDA Form 483 and Warning Letter, including contractor support and the various updates to our quality system to meet FDA expectations.</w:t>
            </w:r>
          </w:p>
        </w:tc>
      </w:tr>
      <w:tr>
        <w:trPr/>
        <w:tc>
          <w:tcPr>
            <w:tcW w:w="10205" w:type="dxa"/>
            <w:gridSpan w:val="17"/>
            <w:tcBorders/>
            <w:vAlign w:val="center"/>
          </w:tcPr>
          <w:p>
            <w:pPr>
              <w:pStyle w:val="TableContents"/>
              <w:bidi w:val="0"/>
              <w:spacing w:before="0" w:after="283"/>
              <w:jc w:val="left"/>
              <w:rPr/>
            </w:pPr>
            <w:r>
              <w:rPr/>
              <w:t> </w:t>
            </w:r>
          </w:p>
        </w:tc>
      </w:tr>
    </w:tbl>
    <w:p>
      <w:pPr>
        <w:pStyle w:val="TextBody"/>
        <w:bidi w:val="0"/>
        <w:spacing w:before="0" w:after="283"/>
        <w:jc w:val="left"/>
        <w:rPr/>
      </w:pPr>
      <w:r>
        <w:rPr>
          <w:rStyle w:val="StrongEmphasis"/>
        </w:rPr>
        <w:t>Investor Relations:</w:t>
      </w:r>
      <w:r>
        <w:rPr/>
        <w:br/>
        <w:t>Blake Beber</w:t>
        <w:br/>
        <w:t>Head of Investor Relations</w:t>
        <w:br/>
      </w:r>
      <w:r>
        <w:rPr>
          <w:rStyle w:val="StrongEmphasis"/>
        </w:rPr>
        <w:t>ir@betabionics.com</w:t>
      </w:r>
    </w:p>
    <w:p>
      <w:pPr>
        <w:pStyle w:val="TextBody"/>
        <w:bidi w:val="0"/>
        <w:spacing w:before="0" w:after="283"/>
        <w:jc w:val="left"/>
        <w:rPr/>
      </w:pPr>
      <w:r>
        <w:rPr>
          <w:rStyle w:val="StrongEmphasis"/>
        </w:rPr>
        <w:t xml:space="preserve">Media and Public Relations: </w:t>
      </w:r>
      <w:r>
        <w:rPr/>
        <w:br/>
        <w:t>Felicia Sanborn</w:t>
        <w:br/>
        <w:t>Vice President of Marketing</w:t>
        <w:br/>
      </w:r>
      <w:r>
        <w:rPr>
          <w:rStyle w:val="StrongEmphasis"/>
        </w:rPr>
        <w:t>media@betabionics.com</w:t>
      </w:r>
    </w:p>
    <w:p>
      <w:pPr>
        <w:pStyle w:val="TextBody"/>
        <w:bidi w:val="0"/>
        <w:spacing w:before="0" w:after="283"/>
        <w:jc w:val="left"/>
        <w:rPr/>
      </w:pPr>
      <w:r>
        <w:rPr/>
        <w:t>Source: Beta Bionics, Inc.</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Wingdings" w:hAnsi="Wingdings" w:cs="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Wingdings" w:hAnsi="Wingdings" w:cs="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3106</Words>
  <Characters>17524</Characters>
  <CharactersWithSpaces>21063</CharactersWithSpaces>
  <Paragraphs>1409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