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8069d8k.htm"/>
      <w:bookmarkStart w:id="1" w:name="ksd17806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Beta Bionics,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001-42491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47-5386878</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11 Hughes</w:t>
      </w:r>
    </w:p>
    <w:p>
      <w:pPr>
        <w:pStyle w:val="TextBody"/>
        <w:bidi w:val="0"/>
        <w:spacing w:before="0" w:after="0"/>
        <w:jc w:val="center"/>
        <w:rPr>
          <w:rFonts w:ascii="Times New Roman" w:hAnsi="Times New Roman"/>
          <w:b/>
          <w:sz w:val="20"/>
        </w:rPr>
      </w:pPr>
      <w:r>
        <w:rPr>
          <w:rFonts w:ascii="Times New Roman" w:hAnsi="Times New Roman"/>
          <w:b/>
          <w:sz w:val="20"/>
        </w:rPr>
        <w:t>Irvine, California 92618</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(949) 427-7785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320" w:type="dxa"/>
        <w:jc w:val="left"/>
        <w:tblInd w:w="0" w:type="dxa"/>
        <w:tblLayout w:type="fixed"/>
        <w:tblCellMar>
          <w:top w:w="0" w:type="dxa"/>
          <w:left w:w="0" w:type="dxa"/>
          <w:bottom w:w="0" w:type="dxa"/>
          <w:right w:w="0" w:type="dxa"/>
        </w:tblCellMar>
      </w:tblPr>
      <w:tblGrid>
        <w:gridCol w:w="4265"/>
        <w:gridCol w:w="60"/>
        <w:gridCol w:w="740"/>
        <w:gridCol w:w="60"/>
        <w:gridCol w:w="219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BBNX</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2026, Beta Bionics, Inc. (the “Company,” “we,” “our” or “us”) entered into an underwriting agreement (the “Underwriting Agreement”) with J.P. Morgan Securities LLC, Piper Sandler &amp; Co., Wells Fargo Securities, LLC and Leerink Partners LLC, as representatives of the several underwriters named therein (collectively, the “Underwriters”), relating to the issuance and sale in a public offering of 7,652,175 shares of our common stock, par value $0.0001 per share. The price to the public in the offering is $17.25 per share and, in lieu of shares of common stock to certain investors, pre-funded warrants to purchase 1,043,484 shares of common stock at a purchase price of $17.2499 per share, which equals the public offering price per share of the common stock less the $0.0001 exercise price per share of each pre-funded warrant. The gross proceeds to us from the offering are expected to be approximately $150.0 million, before deducting the underwriting discounts and commissions and estimated offering expenses payable by us. The closing of the offering is expected to occur on September 17, 2026, subject to the satisfaction of customary closing conditions. In addition, we granted the Underwriters a 30-day option to purchase up to 1,304,348 additional shares of our common stock at the public offering price,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We expect to use the net proceeds from this offering for general corporate purposes, which may include costs associated with the commercialization of Mint™, including expansion of our manufacturing facilities, research and development and clinical development, investment in product enhancements, potential strategic opportunities and working capital and operating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us, customary conditions to closing, indemnification obligations of us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our effective registration statement on Form S-3 and accompanying prospectus (Registration Statement No. 333-293702), previously filed with the Securities and Exchange Commission (“SEC”), and a prospectus supplement thereunder. A copy of the Underwriting Agreement is filed as Exhibit 1.1 to this report, and the foregoing description of the terms of the Underwriting Agreement does not purport to be complete and is qualified in its entirety by reference to such exhibit. A copy of the opinion of Cooley LLP relating to the legality of the issuance and sale of the shares in the offering is attached as Exhibit 5.1 hereto.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2026, we issued a press release announcing the commencement of the offering. On September 15, 2026, we issued a press release announcing that we had priced the offering. Copies of these press releases are attached as Exhibits 99.1 and 99.2 hereto,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report are forward-looking statements that involve a number of risks and uncertainties. These statements may be identified by introductory words such as “may,” “expects,” “goal,” “intend,” “will,” “would,” “subject to” or words of similar meaning, or by the fact that they do not relate strictly to historical or current facts. Such forward-looking statements include statements regarding our expectations with respect to the completion, timing and size of the public offering, and the use of proceeds from the offering. For such statements, we claim the protection of the Private Securities Litigation Reform Act of 1995. Actual events or results may differ materially from our expectations. Factors that could cause actual results to differ materially from the forward-looking statements include, but are not limited to, risks and uncertainties associated with market conditions and the satisfaction of customary closing conditions related to the offering, and those factors disclosed in our filings with the SEC, including our Annual Report on Form 10-K for the year ended December 31, 2025, filed with the SEC on February 24, 2026, as updated by its Quarterly Report on Form 10-Q for the quarter ended June 30, 2026, filed with the SEC on July 29, 2026, and other filings that we may make from time to time with the SEC. These forward-looking statements represent our judgment as of the time of this release. We disclaim any intent or obligation to update these forward-looking statements, other than as may be required under applicable law. </w:t>
      </w:r>
    </w:p>
    <w:p>
      <w:pPr>
        <w:pStyle w:val="TextBody"/>
        <w:bidi w:val="0"/>
        <w:spacing w:before="0" w:after="0"/>
        <w:jc w:val="left"/>
        <w:rPr/>
      </w:pPr>
      <w:r>
        <w:rPr/>
        <w:t>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78069dex11.htm">
              <w:r>
                <w:rPr>
                  <w:rStyle w:val="InternetLink"/>
                </w:rPr>
                <w:t xml:space="preserve">Underwriting Agreement, dated September 15, 2026, by and among Beta Bionics, Inc. and J.P. Morgan Securities LLC, Piper Sandler &amp; Co., Wells Fargo Securities, LLC and Leerink Partners LLC, as representatives of the several underwriters named therein.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78069dex41.htm">
              <w:r>
                <w:rPr>
                  <w:rStyle w:val="InternetLink"/>
                </w:rPr>
                <w:t xml:space="preserve">Form of Pre-Funded Warrant.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78069dex51.htm">
              <w:r>
                <w:rPr>
                  <w:rStyle w:val="InternetLink"/>
                </w:rPr>
                <w:t xml:space="preserve">Opinion of Cooley LLP.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78069dex51.htm">
              <w:r>
                <w:rPr>
                  <w:rStyle w:val="InternetLink"/>
                </w:rPr>
                <w:t xml:space="preserve">Consent of Cooley LLP (included in Exhibit 5.1).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78069dex991.htm">
              <w:r>
                <w:rPr>
                  <w:rStyle w:val="InternetLink"/>
                </w:rPr>
                <w:t xml:space="preserve">Press Release, dated September 15,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78069dex992.htm">
              <w:r>
                <w:rPr>
                  <w:rStyle w:val="InternetLink"/>
                </w:rPr>
                <w:t xml:space="preserve">Press Release, dated September 15,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380"/>
        <w:gridCol w:w="60"/>
        <w:gridCol w:w="369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4135" w:type="dxa"/>
            <w:gridSpan w:val="3"/>
            <w:tcBorders/>
            <w:vAlign w:val="center"/>
          </w:tcPr>
          <w:p>
            <w:pPr>
              <w:pStyle w:val="TableContents"/>
              <w:bidi w:val="0"/>
              <w:spacing w:before="0" w:after="283"/>
              <w:jc w:val="left"/>
              <w:rPr>
                <w:b/>
              </w:rPr>
            </w:pPr>
            <w:r>
              <w:rPr>
                <w:b/>
              </w:rPr>
              <w:t>Beta Bionics,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Saint</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Sean Saint</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xml:space="preserve">President and Chief Executive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September 16, 2026 </w:t>
      </w:r>
    </w:p>
    <w:p>
      <w:pPr>
        <w:pStyle w:val="TextBody"/>
        <w:bidi w:val="0"/>
        <w:spacing w:before="0" w:after="0"/>
        <w:jc w:val="right"/>
        <w:rPr>
          <w:rFonts w:ascii="Times New Roman" w:hAnsi="Times New Roman"/>
          <w:b/>
          <w:sz w:val="20"/>
        </w:rPr>
      </w:pPr>
      <w:bookmarkStart w:id="2" w:name="d178069dex11.htm"/>
      <w:bookmarkStart w:id="3" w:name="ksd178069dex11"/>
      <w:bookmarkEnd w:id="2"/>
      <w:bookmarkEnd w:id="3"/>
      <w:r>
        <w:rPr>
          <w:rFonts w:ascii="Times New Roman" w:hAnsi="Times New Roman"/>
          <w:b/>
          <w:sz w:val="20"/>
        </w:rPr>
        <w:t xml:space="preserve">Exhibit 1.1 </w:t>
      </w:r>
      <w:r>
        <w:br w:type="page"/>
      </w:r>
    </w:p>
    <w:p>
      <w:pPr>
        <w:pStyle w:val="TextBody"/>
        <w:bidi w:val="0"/>
        <w:spacing w:before="60" w:after="0"/>
        <w:jc w:val="righ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BETA BIONICS, INC. </w:t>
      </w:r>
    </w:p>
    <w:p>
      <w:pPr>
        <w:pStyle w:val="TextBody"/>
        <w:bidi w:val="0"/>
        <w:spacing w:before="120" w:after="0"/>
        <w:jc w:val="center"/>
        <w:rPr>
          <w:rFonts w:ascii="Times New Roman" w:hAnsi="Times New Roman"/>
          <w:sz w:val="20"/>
        </w:rPr>
      </w:pPr>
      <w:r>
        <w:rPr>
          <w:rFonts w:ascii="Times New Roman" w:hAnsi="Times New Roman"/>
          <w:sz w:val="20"/>
        </w:rPr>
        <w:t xml:space="preserve">7,652,175 Shares of Common Stock and </w:t>
      </w:r>
    </w:p>
    <w:p>
      <w:pPr>
        <w:pStyle w:val="TextBody"/>
        <w:bidi w:val="0"/>
        <w:spacing w:before="120" w:after="0"/>
        <w:jc w:val="center"/>
        <w:rPr>
          <w:rFonts w:ascii="Times New Roman" w:hAnsi="Times New Roman"/>
          <w:sz w:val="20"/>
        </w:rPr>
      </w:pPr>
      <w:r>
        <w:rPr>
          <w:rFonts w:ascii="Times New Roman" w:hAnsi="Times New Roman"/>
          <w:sz w:val="20"/>
        </w:rPr>
        <w:t xml:space="preserve">pre-funded warrants to purchase 1,043,484 Shares of Common Stock </w:t>
      </w:r>
    </w:p>
    <w:p>
      <w:pPr>
        <w:pStyle w:val="TextBody"/>
        <w:bidi w:val="0"/>
        <w:spacing w:before="12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15,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PIPER SANDLER &amp; CO.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pPr>
      <w:r>
        <w:rPr/>
        <w:t> </w:t>
      </w:r>
      <w:r>
        <w:rPr>
          <w:rFonts w:ascii="Times New Roman" w:hAnsi="Times New Roman"/>
          <w:sz w:val="20"/>
        </w:rPr>
        <w:t xml:space="preserve">several Underwriters listed </w:t>
      </w:r>
    </w:p>
    <w:p>
      <w:pPr>
        <w:pStyle w:val="TextBody"/>
        <w:bidi w:val="0"/>
        <w:spacing w:before="0" w:after="0"/>
        <w:jc w:val="left"/>
        <w:rPr/>
      </w:pPr>
      <w:r>
        <w:rPr/>
        <w:t> </w:t>
      </w: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Piper Sandler &amp; Co. </w:t>
      </w:r>
    </w:p>
    <w:p>
      <w:pPr>
        <w:pStyle w:val="TextBody"/>
        <w:bidi w:val="0"/>
        <w:spacing w:before="0" w:after="0"/>
        <w:jc w:val="left"/>
        <w:rPr>
          <w:rFonts w:ascii="Times New Roman" w:hAnsi="Times New Roman"/>
          <w:sz w:val="20"/>
        </w:rPr>
      </w:pPr>
      <w:r>
        <w:rPr>
          <w:rFonts w:ascii="Times New Roman" w:hAnsi="Times New Roman"/>
          <w:sz w:val="20"/>
        </w:rPr>
        <w:t xml:space="preserve">350 North 5th Street, Suite 1000 </w:t>
      </w:r>
    </w:p>
    <w:p>
      <w:pPr>
        <w:pStyle w:val="TextBody"/>
        <w:bidi w:val="0"/>
        <w:spacing w:before="0" w:after="0"/>
        <w:jc w:val="left"/>
        <w:rPr>
          <w:rFonts w:ascii="Times New Roman" w:hAnsi="Times New Roman"/>
          <w:sz w:val="20"/>
        </w:rPr>
      </w:pPr>
      <w:r>
        <w:rPr>
          <w:rFonts w:ascii="Times New Roman" w:hAnsi="Times New Roman"/>
          <w:sz w:val="20"/>
        </w:rPr>
        <w:t xml:space="preserve">Minneapolis, Minnesota 55401 </w:t>
      </w:r>
    </w:p>
    <w:p>
      <w:pPr>
        <w:pStyle w:val="TextBody"/>
        <w:bidi w:val="0"/>
        <w:spacing w:before="240" w:after="0"/>
        <w:jc w:val="left"/>
        <w:rPr>
          <w:rFonts w:ascii="Times New Roman" w:hAnsi="Times New Roman"/>
          <w:sz w:val="20"/>
        </w:rPr>
      </w:pPr>
      <w:r>
        <w:rPr>
          <w:rFonts w:ascii="Times New Roman" w:hAnsi="Times New Roman"/>
          <w:sz w:val="20"/>
        </w:rPr>
        <w:t xml:space="preserve">c/o 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500 West 33rd Street, 14th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Beta Bionics, Inc., a Delaware corporation (the “Company”), proposes to issue and sell to the several underwriters listed in Schedule 1 hereto (the “Underwriters”), for whom J.P. Morgan Securities LLC (“JPM”), Piper Sandler &amp; Co. (“Piper”), Wells Fargo Securities, LLC (“Wells Fargo”) and Leerink Partners LLC (“Leerink Partners”) are acting as representatives (the “Representatives”), (i) an aggregate of 7,652,175 shares of common stock, par value $ 0.0001 per share, of the Company (“Common Stock”) of the Company (the “Underwritten Shares”) and (ii) pre-funded warrants to purchase an aggregate of 1,043,484 shares of Common Stock in the form attached hereto as Exhibit A (the “Warrants”). In addition, the Company proposes to issue and sell,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option of the Underwriters, up to an additional 1,304,348 shares of common stock of the Company (the “Option Shares”). The Underwritten Shares and the Warrants are herein referred to as the “Underwritten Securities.” The Underwritten Shares and the Option Shares are herein referred to as the “Shares”. The Shares and the Warrants are herein referred to as the “Securities”. The shares of Common Stock issuable upon exercise of the Warrants are herein referred to as the “Warrant Shares.” The shares of Common Stock of the Company to be outstanding after giving effect to the sale of the Shares and the exercise of the Warrants are referred to herein as the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Securities,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 registration statement on Form S-3 (File No. 333-293702), including a prospectus, relating to certain securities, including shares of Common Stock and the Warrants, to be issued from time to time by the Company (the “Base Prospectus”).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the Base Prospectus included in the Registration Statement at the time of its effectiveness that omits Rule 430 Information and the preliminary prospectus supplement thereto dated September 15, 2026 relating to the Securities in the form filed with the Commission pursuant to Rule 424(b) under the Securities Act, and the term “Prospectus” means the Base Prospectus and the final prospectus supplement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the Preliminary Prospectus or the Prospectus shall be deemed to refer to and include the documents incorporated by reference therein pursuant to Item 12 of Form S-3 under the Securities Act, as of the effective date of the Registration Statement or the date of the Preliminary Prospectus or the Prospectus, as the case may be, and any reference to “amend”, “amendment” or “supplement” with respect to the Registration Statement, the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following information (collectively with the pricing information set forth on Annex A, the “Pricing Disclosure Package”): the Preliminary Prospectus and each “free-writing prospectus” (as defined pursuant to Rule 405 under the Securities Act) listed on Annex A hereto.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Applicable Time” means 9:00 P.M., New York City time, on September 15, 2026.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issue and sell the Underwritten Securities to the several Underwriters as provided in this Agreement, and each Underwriter, on the basis of the representations, warranties and agreements set forth herein and subject to the conditions set forth herein, agrees, severally and not jointly, to purchase at a price per share of $16.215 (the “Share Purchase Price”) from the Company the respective number of Underwritten Shares set forth opposite such Underwriter’s name in Schedule 1 hereto, and to purchase from the Company the Warrants in respect of the respective number of Warrants set forth opposite such Underwriter’s name in Schedule 1 hereto at a price of $16.2149 per Warrant (the “Warrant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Share Purchase Price less an amount per share equal to any dividends or distributions declared by the Company and payable on the Underwritten Shares but not payable on the Option Shares. </w:t>
      </w:r>
    </w:p>
    <w:p>
      <w:pPr>
        <w:pStyle w:val="TextBody"/>
        <w:bidi w:val="0"/>
        <w:spacing w:before="240" w:after="0"/>
        <w:jc w:val="left"/>
        <w:rPr>
          <w:rFonts w:ascii="Times New Roman" w:hAnsi="Times New Roman"/>
          <w:sz w:val="20"/>
        </w:rPr>
      </w:pPr>
      <w:r>
        <w:rPr>
          <w:rFonts w:ascii="Times New Roman" w:hAnsi="Times New Roman"/>
          <w:sz w:val="20"/>
        </w:rPr>
        <w:t xml:space="preserve">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 provided that if such date and time of delivery are the same as the Closing Date, such notice may be given one business day prior to such date and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understands that the Underwriters intend to make a public offering of the Securities, and initially to offer the Securities on the terms set forth in the Pricing Disclosure Package. The Company acknowledges and agrees that the Underwriters may offer and sell Securities to or through any affiliate of an Underwriter.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Payment for the Securities shall be made by wire transfer in immediately available funds to the account specified by the Company to the Representatives in the case of the Underwritten Securities, at the offices of Latham &amp; Watkins LLP at 10:00 A.M. New York City time on September 17, 2026,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Securities is referred to herein as the “Closing Date”, and the time and date for such payment for the Option Shares, if other than the Closing Date, is herein referred to as the “Additional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Payment for the Securities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Securities duly paid by the Company. Delivery of the Shares shall be made through the facilities of The Depository Trust Company (“DTC”) unless the Representatives shall otherwise instruct. The Warrants shall be delivered to the Representatives in definitive form, registered in such names and in such denominations as the Representatives shall request in writing not later than the Closing Date. The Warrants will be made available for inspection by the Representatives on the business day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and the Representatives shall instruct purchasers of the Warrants in the public offering to make payment for the Warrants on the Closing Date to the Company by wire transfer in immediately available funds to the account specified by the Company at a purchase price of $17.2499 per Warrant, in lieu of payment by the Underwriters for such Warrants, and the Company shall deliver such Warrants to such purchasers on the Closing Date in definitive form against such payment, in lieu of the Company’s obligation to deliver such Warrants to the Underwriters; provided that, the underwriting discounts and commissions in respect of the Warrants, as calculated by subtracting the Price per Warrant set forth on Annex A hereto from the Warrant Purchase Price set forth in Section 2(a) hereof, shall be deducted and withheld from the amount otherwise payable by the Representatives to the Company for the Shares as set forth above in this Section 2(d).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purchaser of the Warrants in the public offering fails to make payment to the Company for all or part of the Warrants (the “Failed Warrants”) on the Closing Date, the Representatives may elect, by written notice to the Company and payment of the Share Purchase Price by wire transfer in immediately available funds to the account specified by the Company at the location and time designated in this Section 2(d) for the Closing Date, to receive a number of shares of Common Stock equivalent to the number of Failed Warrants at the Share Purchase Price in lieu of the Failed Warrants that were otherwise to have been delivered to the purchasers thereof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acknowledges and agrees that the Representatives and the other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the Preliminary Prospectus has been issued by the Commission, and the Preliminary Prospectus included in the Pricing Disclosure Package, at the time of filing thereof, complied in all material respects with the Securities Act, and the Preliminary Prospectus did not, at the time of filing thereof,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w:t>
      </w:r>
      <w:r>
        <w:rPr>
          <w:rFonts w:ascii="Times New Roman" w:hAnsi="Times New Roman"/>
          <w:sz w:val="20"/>
        </w:rPr>
        <w:t xml:space="preserve">.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including the free writing prospectus substantially in the form of Annex C, each electronic road show and any other written communications approved in writing in advance by the Representatives, such approval not to be unreasonably withheld, conditioned, or delayed.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or filed prior to the first use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Emerging Growth Company</w:t>
      </w:r>
      <w:r>
        <w:rPr>
          <w:rFonts w:ascii="Times New Roman" w:hAnsi="Times New Roman"/>
          <w:sz w:val="20"/>
        </w:rPr>
        <w:t xml:space="preserve">. From the time of initial confidential submission of the registration statement relating to the Company’s initial public offering to the Commission (or, if earlier, the first date on which the 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Testing-the-Waters Materials. </w:t>
      </w:r>
      <w:r>
        <w:rPr>
          <w:rFonts w:ascii="Times New Roman" w:hAnsi="Times New Roman"/>
          <w:sz w:val="20"/>
        </w:rPr>
        <w:t xml:space="preserve">The Company (i) has not engaged in any Testing-the-Waters Communications and (ii) has not authorized anyone to engage in Testing-the-Waters Communications. The Company has not distributed or approved for distribution any Written Testing-the-Waters Communications. “Written Testing-the-Waters Communication” means any Testing-the-Waters Communication that is a written communication within the meaning of Rule 405 under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Registration Statement and Prospectus.</w:t>
      </w:r>
      <w:r>
        <w:rPr>
          <w:rFonts w:ascii="Times New Roman" w:hAnsi="Times New Roman"/>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Securities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Incorporated Documents.</w:t>
      </w:r>
      <w:r>
        <w:rPr>
          <w:rFonts w:ascii="Times New Roman" w:hAnsi="Times New Roman"/>
          <w:sz w:val="20"/>
        </w:rPr>
        <w:t xml:space="preserve"> The documents incorporated by reference in the Registration Statement, the Prospectus and the Pricing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and its consolidated subsidiaries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in the case of unaudited interim financial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which are subject to normal year-end adjustments, the effect of which would not individually or in the aggregate, be materially adverse,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with Regulation G of the Exchange Act and Item 10 of Regulation S-K of the Securities Act,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Material Adverse Change.</w:t>
      </w:r>
      <w:r>
        <w:rPr>
          <w:rFonts w:ascii="Times New Roman" w:hAnsi="Times New Roman"/>
          <w:sz w:val="20"/>
        </w:rPr>
        <w:t xml:space="preserve"> Except as otherwise stated therein, since the respective dates as of which information is given in the Registration Statement, the Pricing Disclosure Package or the Prospectus, (A) there has been no material adverse change in the condition, financial or otherwise, or in the earnings, business affairs or business prospects of the Company, whether or not arising in the ordinary course of business (a “Material Adverse Effect”),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Organization and Good Standing.</w:t>
      </w:r>
      <w:r>
        <w:rPr>
          <w:rFonts w:ascii="Times New Roman" w:hAnsi="Times New Roman"/>
          <w:sz w:val="20"/>
        </w:rPr>
        <w:t xml:space="preserve"> The Company has been duly incorporated and is validly existing as a corporation in good standing under the laws of the State of Delaware and has corporate power and authority to own, lease and operate its properties and to conduct its business as described in the Registration Statement, the Pricing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 Subsidiaries</w:t>
      </w:r>
      <w:r>
        <w:rPr>
          <w:rFonts w:ascii="Times New Roman" w:hAnsi="Times New Roman"/>
          <w:sz w:val="20"/>
        </w:rPr>
        <w:t xml:space="preserve">. The Company has no subsidiaries.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Capitalization.</w:t>
      </w:r>
      <w:r>
        <w:rPr>
          <w:rFonts w:ascii="Times New Roman" w:hAnsi="Times New Roman"/>
          <w:sz w:val="20"/>
        </w:rPr>
        <w:t xml:space="preserve"> The authorized, issued and outstanding shares of capital stock of the Company are as set forth in the Registration Statement, the Pricing Disclosure Package and the Prospectus in the column entitled “Actual” under the caption “Capitalization” (except for subsequent issuances, if any, pursuant to this Agreement, pursuant to reservations, agreements or employee benefit plans referred to in the Registration Statement, the Pricing Disclosure Package and the Prospectus or pursuant to the exercise of convertible securities or options or the vesting or settlement of restricted stock units (“RSUs”) referred to in the Registration Statement, the Pricing Disclosure Package and the Prospectus). The outstanding shares of capital stock of the Company, including any Option Shares to be purchased by the Underwriters from the Company, have been duly authorized and validly issued and are fully paid and non-assessable. None of the outstanding shares of capital stock of the Company, including any Option Shares to be purchased by the Underwriters from the Company, were issued in violation of the preemptive or other similar rights of any securityholder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Due Authorization.</w:t>
      </w:r>
      <w:r>
        <w:rPr>
          <w:rFonts w:ascii="Times New Roman" w:hAnsi="Times New Roman"/>
          <w:sz w:val="20"/>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Authorization and Description of Securities. </w:t>
      </w:r>
      <w:r>
        <w:rPr>
          <w:rFonts w:ascii="Times New Roman" w:hAnsi="Times New Roman"/>
          <w:sz w:val="20"/>
        </w:rPr>
        <w:t xml:space="preserve">The Shares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Shares is not subject to the preemptive or other similar rights of any securityholder of the Company that has not been validly waived. The Stock conforms in all material respects to all statements relating thereto contained in the Registration Statement, the Pricing Disclosure Package and the Prospectus and such description conforms in all material respects to the rights set forth in the instruments defining the same. The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and will conform in all material respects to the descriptions thereof in the Registration Statement, the Pricing Disclosure Package and the Prospectus. The Warrant Shares have been duly authorized and validly reserved for issuance upon exercise of the Warrants in a number sufficient to meet the current exercise requirements; the Warrant Shares, when issued and delivered upon exercise of the Warrants in accordance therewith, will be duly and validly issued, will be fully paid and nonassessable and will conform in all material respects to the descriptions thereof in the Registration Statement, the Pricing Disclosure Package and the Prospectus, and are not subject to any preemptive rights or similar rights that have not been validly waived.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Description of the Underwriting Agreement.</w:t>
      </w:r>
      <w:r>
        <w:rPr>
          <w:rFonts w:ascii="Times New Roman" w:hAnsi="Times New Roman"/>
          <w:sz w:val="20"/>
        </w:rPr>
        <w:t xml:space="preserve"> This Agreement conforms in all material respects to the description thereof contained in the Registration Statement, the Pricing Disclosure Package and the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Absence of Violations, Defaults and Conflicts.</w:t>
      </w:r>
      <w:r>
        <w:rPr>
          <w:rFonts w:ascii="Times New Roman" w:hAnsi="Times New Roman"/>
          <w:sz w:val="20"/>
        </w:rPr>
        <w:t xml:space="preserve"> The Company is not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“Agreements and Instruments”),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properties, assets or operations (each, a “Governmental Entity”), except for such violations that would not, singly or in the aggregate, reasonably be expected to result in a Material Adverse Effect. The execution, delivery and performance by the Company of this Agreement and the Warrants, the issuance and sale of the Securities and the Warrant Shares by the Company and the consummation by the Company of the transactions contemplated herein and in the Registration Statement, the Pricing Disclosure Package and the Prospectus (including the issuance and sale of the Shares and the use of the proceeds from the sale of the Shares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(i) the provisions of the charter, by-laws or similar organizational document of the Company or (ii) any law, statute, rule, regulation, judgment, order, writ or decree of any Governmental Entity, except, in the case of clause (ii) above, for such violation that would not, singly or in the aggregate, reasonably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and the Warrant Shares and the consummation of the transactions contemplated by this Agreement, except such as have been already obtained or as may be required under the Securities Act, regulations of the Commission under the Securities Act (the “Securities Act Regulations”), the rules of the Nasdaq Market (as defined below), state securities laws or the rules of the Financial Industry Regulatory Authority, Inc. (“FINRA”).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Absence of Proceedings.</w:t>
      </w:r>
      <w:r>
        <w:rPr>
          <w:rFonts w:ascii="Times New Roman" w:hAnsi="Times New Roman"/>
          <w:sz w:val="20"/>
        </w:rPr>
        <w:t xml:space="preserve"> Except as disclosed in the Registration Statement, the Pricing Disclosure Package and the Prospectus, there is no action, suit, proceeding, inquiry or investigation before or brought by any Governmental Entity now pending or, to the knowledge of the Company, threatened, against or affecting the Company, which would reasonably be expected to result in a Material Adverse Effect, or which would reasonably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expected to materially and adversely affect its properties or assets or the consummation of the transactions contemplated in this Agreement or the performance by the Company of its obligations hereunder; and the aggregate of all pending legal or governmental proceedings to which the Company is a party or of which any of its properties or assets is the subject which are not described in the Registration Statement, the Pricing Disclosure Package and the Prospectus, including ordinary routine litigation incidental to the business,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Accuracy of Exhibits</w:t>
      </w:r>
      <w:r>
        <w:rPr>
          <w:rFonts w:ascii="Times New Roman" w:hAnsi="Times New Roman"/>
          <w:sz w:val="20"/>
        </w:rPr>
        <w:t xml:space="preserve">. There are no contracts or documents which are required to be described in the Registration Statement, the Pricing Disclosure Package or the Prospectus which have not been so described and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Independent Accountants</w:t>
      </w:r>
      <w:r>
        <w:rPr>
          <w:rFonts w:ascii="Times New Roman" w:hAnsi="Times New Roman"/>
          <w:sz w:val="20"/>
        </w:rPr>
        <w:t xml:space="preserve">. The accountants who certified the financial statements and supporting schedules included in the Registration Statement, the Pricing Disclosure Package and the Prospectus are independent public accountants as required by the Securities Act, the Securities Act Regulations and the Public Company Accounting Oversight Board.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Title to Property</w:t>
      </w:r>
      <w:r>
        <w:rPr>
          <w:rFonts w:ascii="Times New Roman" w:hAnsi="Times New Roman"/>
          <w:sz w:val="20"/>
        </w:rPr>
        <w:t xml:space="preserve">. The Company has good and marketable title to all real property owned by it and good title to all other properties owned by it, in each case, free and clear of all mortgages, pledges, liens, security interests, claims, restrictions or encumbrances of any kind except such as (A) are described in the Registration Statement, the Pricing Disclosure Package and the Prospectus or (B) do not, singly or in the aggregate, materially and adversely affect the value of such property and do not materially interfere with the use made and proposed to be made of such property by the Company; and all of the leases and subleases material to the business of the Company, and under which the Company holds properties described in the Registration Statement, the Pricing Disclosure Package or the Prospectus, are in full force and effect, and the Company does not have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Title to Intellectual Property.</w:t>
      </w:r>
      <w:r>
        <w:rPr>
          <w:rFonts w:ascii="Times New Roman" w:hAnsi="Times New Roman"/>
          <w:sz w:val="20"/>
        </w:rPr>
        <w:t xml:space="preserve"> The Company owns or has rights to all trademarks, trade names, service marks, patents, patent applications, copyrights, domain names, know-how (including trade secrets and other unpatented and/or unpatentable proprietary or confidential information, systems or procedures), inventions, technology, and other intellectual property, and any applications or registrations therefor (collectively, “Intellectual Property Rights”) which are material to or used in the conduct of its businesses as described in the Registration Statement, the Pricing Disclosure Package and the Prospectus (“Company Intellectual Property Rights”). Except as disclosed in the Registration Statement, the Pricing Disclosure Package and the Prospectus, (i) the Company is the sole owner of the Company Intellectual Property Rights owned by it, other than any co-owner of any patent or patent application constituting such Intellectual Property Rights who is listed on the records of the U.S. Patent and Trademark Office (the “USPTO”) (or foreign equivalent), and without obligation to obtain consent to sublicense and without a duty of accounting to co-owners, as applicable; (ii) to the knowledge of the Company, no third party is infringing,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misappropriating or otherwise violating, or has infringed, misappropriated or otherwise violated, any Company Intellectual Property Rights; (iii) there is no pending or, to the knowledge of the Company, threatened action, suit, proceeding or claim by any third party challenging the Company’s rights in or to any of its Company Intellectual Property Rights, and the Company is unaware of any facts which would form a reasonable basis for any such claim; (iv) there is no pending or, to the knowledge of the Company, threatened, action, suit, proceeding or claim by any third party challenging the validity, enforceability or scope of any Company Intellectual Property Rights, and the Company is unaware of any facts which would form a reasonable basis for any such claim; (v) the Company has not received any written notice of, and, except as would not reasonably be expected to have a Material Adverse Effect, has not engaged in, any infringement, misappropriation or other violation of any valid third party Intellectual Property and, except as would not reasonably be expected to have a Material Adverse Effect, there is no pending or, to the knowledge of the Company, threatened, action, suit, proceeding or claim regarding any such infringement, misappropriation or violation of any third party Intellectual Property and the Company is unaware of any facts or circumstances which would form a reasonable basis for any such claim; (vi) the Company has complied in all material respects with the terms of each material agreement pursuant to which any permission to use Intellectual Property has been granted to the Company, the Company has not received any written notice alleging any material breach of such agreements and is unaware of any facts which would form a reasonable basis for any such claim, and all such agreements are in full force and effect by the Company and, to the knowledge of the Company, by all counterparties to such agreements; (vii) the Company is not obligated to pay a material royalty, grant a license or option, or provide other material consideration to any third party in connection with the Company Intellectual Property Rights; (viii) the Company takes and has taken commercially reasonable steps necessary to maintain and protect the confidentiality of material trade secrets and other confidential Company Intellectual Property; (ix) all employees or contractors engaged in the development of Intellectual Property Rights on behalf of the Company have executed a written agreement containing, to the Company’s knowledge, an enforceable invention assignment to the Company of such person’s rights, title and interest in and to such Intellectual Property Rights, and to the knowledge of the Company, no such agreement has been breached or violated; (x) to the knowledge of the Company, no employee of the Company is in or has been in violation of any material term of any employment contract, patent disclosure agreement, non-competition agreement, non-solicitation agreement, nondisclosure agreement or any restrictive covenant to or with a former employer where the basis of such violation relates to such employee’s employment with the Company, except as would not, individually or in the aggregate, reasonably be expected to result in a Material Adverse Effect; and (xi) no government funding, facilities or resources of a university, college, other educational institution or research center was used in the development of any Intellectual Property Rights that are owned or purported to be owned by the Company that would confer any governmental agency or body, university, college, other educational institution or research center any claim or right of ownership to any such Company Intellectual Property Rights. The Company expects that the product candidates described in the Registration Statement, the Pricing Disclosure Package and the Prospectus as under development by the Company upon commercialization of such product candidates will fall within the scope of the claims of one or more patents or patent applications owned or purported to be owned by, or exclusively licensed to,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Patents and Patent Applications.</w:t>
      </w:r>
      <w:r>
        <w:rPr>
          <w:rFonts w:ascii="Times New Roman" w:hAnsi="Times New Roman"/>
          <w:sz w:val="20"/>
        </w:rPr>
        <w:t xml:space="preserve"> (i) All patents and patent applications within the Company Intellectual Property Rights that are owned or purported to be owned by or, to the knowledge of the Company, exclusively licensed to the Company, have been duly and properly filed and maintained; (ii) the Company is unaware of any facts that would preclude the issuance of a valid and enforceable patent from any pending patent applications included in the Company Intellectual Property Rights that are owned or purported to be owned by or, to the knowledge of the Company, exclusively licensed to the Company, except as would not reasonably be expected to have a Material Adverse Effect; (iii) to the knowledge of the Company, the parties prosecuting such patent applications have complied with their duty of candor and disclosure to the USPTO in connection with such applications and all such requirements in the relevant foreign patent authorities having similar requirements; and (iv) to the knowledge of the Company, there is no third party patent or patent application that contains claims that dominate or may dominate (as such term is described in 35 U.S.C. §135 and 37 C.F.R. 41.100 to 41.208) the claims of any patents or patent applications within the Company Intellectual Property Rights that are owned or purported to be owned by or exclusively licensed to the Company or from which the issued claims of any of such patents or patent applications are derived (as such term is described in 35 U.S.C. §135 and 37 C.F.R. 42.400 to 42.412), except in each case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Lending Relationship</w:t>
      </w:r>
      <w:r>
        <w:rPr>
          <w:rFonts w:ascii="Times New Roman" w:hAnsi="Times New Roman"/>
          <w:sz w:val="20"/>
        </w:rPr>
        <w:t xml:space="preserve">. Except as disclosed in the Registration Statement, the Pricing Disclosure Package and the Prospectus, the Company (i) does not have any material lending or other relationship with any bank or lending affiliate of any Underwriter and (ii) does not intend to use any of the proceeds from the sale of the Shares to repay any outstanding debt owed to any affiliate of any Underwriter.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Investment Company Act</w:t>
      </w:r>
      <w:r>
        <w:rPr>
          <w:rFonts w:ascii="Times New Roman" w:hAnsi="Times New Roman"/>
          <w:sz w:val="20"/>
        </w:rPr>
        <w:t xml:space="preserve">. The Company is not required and, after giving effect to the offering and sale of the Securities and the application of net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Payment of Taxes.</w:t>
      </w:r>
      <w:r>
        <w:rPr>
          <w:rFonts w:ascii="Times New Roman" w:hAnsi="Times New Roman"/>
          <w:sz w:val="20"/>
        </w:rPr>
        <w:t xml:space="preserve"> All United States federal income tax returns of the Company required by law to be filed have been timely filed, such returns are accurate and complete in all respects and all taxes shown by such returns or otherwise assessed, which are due and payable, have been paid, except assessments against which appeals have been or will be promptly taken and as to which adequate reserves have been provided in accordance with GAAP or the amount of which would not result in a Material Adverse Effect. No assessment has been made that has not been settled for any United States federal income tax returns of the Company through the fiscal year ended December 31, 2025. The Company has timely filed all other tax returns that are required to have been filed by the Company pursuant to applicable foreign, state, local or other law (which returns are accurate and complete in all respects) except insofar as the failure to file such returns would not reasonably be expected to result in a Material Adverse Effect, and the Company has paid all taxes due pursuant to such returns or pursuant to any final assessment received by the Company, except for such taxes, if any, as are being contested in good faith and as to which adequate reserves have been established by the Company in accordance with GAAP, or except insofar as the failure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pay such taxes would not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 reasonably be expected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Possession of Licenses and Permits.</w:t>
      </w:r>
      <w:r>
        <w:rPr>
          <w:rFonts w:ascii="Times New Roman" w:hAnsi="Times New Roman"/>
          <w:sz w:val="20"/>
        </w:rPr>
        <w:t xml:space="preserve"> The Company possesses, or qualifies for an exemption from any applicable requirement to obtain, such permits, licenses, approvals, clearances, consents, exemptions, certificates, registrations and other authorizations (collectively, “Governmental Licenses”) issued by the appropriate Governmental Entities necessary to conduct the business now operated by it, except where the failure so to possess would not, singly or in the aggregate, reasonably be expected to result in a Material Adverse Effect. The Company is in compliance with the terms and conditions of all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reasonably be expected to result in a Material Adverse Effect. The Company has no knowledge of any event that has occurred, which allows, or after notice or lapse of time would reasonably be expected to allow, revocation, termination or impairment of the rights of the holder of any such Governmental License, except for such revocations, terminations or impairments as would not, whether individually or in the aggregate, reasonably be expected to result in a Material Adverse Effect. The Company has not received any notice of proceedings relating to the revocation or modification of any Governmental Licenses which, singly or in the aggregate, if the subject of an unfavorable decision, ruling or finding,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Absence of Labor Disputes.</w:t>
      </w:r>
      <w:r>
        <w:rPr>
          <w:rFonts w:ascii="Times New Roman" w:hAnsi="Times New Roman"/>
          <w:sz w:val="20"/>
        </w:rPr>
        <w:t xml:space="preserve"> No labor dispute with the employees of the Company exists or, to the knowledge of the Company, is imminent, and the Company is not aware of any existing or imminent labor disturbance by the employees of any of its principal suppliers, manufacturers, customers or contractors, which, in either case,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Compliance with Labor Laws.</w:t>
      </w:r>
      <w:r>
        <w:rPr>
          <w:rFonts w:ascii="Times New Roman" w:hAnsi="Times New Roman"/>
          <w:sz w:val="20"/>
        </w:rPr>
        <w:t xml:space="preserve"> The Company is not in violation of and has not received notice of any violation with respect to any federal, state or local law relating to discrimination in the hiring, promotion or pay of employees, nor any applicable federal or state wage and hour laws, the violation of any of which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 xml:space="preserve">Environmental Laws. </w:t>
      </w:r>
      <w:r>
        <w:rPr>
          <w:rFonts w:ascii="Times New Roman" w:hAnsi="Times New Roman"/>
          <w:sz w:val="20"/>
        </w:rPr>
        <w:t xml:space="preserve">Except as described in the Registration Statement, the Pricing Disclosure Package and the Prospectus or except as would not, singly or in the aggregate, reasonably be expected to result in a Material Adverse Effect, (A) the Company is not in violation of any applicable federal, state, local or foreign statute, law, rule, regulation, ordinance, code, policy or rule of common law or any judicial or administrative interpretation thereof, including any judicial or administrative order, consent, decree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has all permits, authorizations and approvals required under any applicable Environmental Laws and is in compliance with their requirements, (C) there are no pending or, to the Company’s knowledge, threatened administrative, regulatory or judicial actions, suits, demands, demand letters, claims, liens, notices of noncompliance or violation, investigations or proceedings relating to any Environmental Law against the Company and (D) to the Company’s knowledge, there are no events or circumstances that would reasonably be expected to form the basis of an order for clean-up or remediation, or an action, suit or proceeding by any private party or Governmental Entity, against or affecting the Company relating to Hazardous Materials or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Compliance with ERISA</w:t>
      </w:r>
      <w:r>
        <w:rPr>
          <w:rFonts w:ascii="Times New Roman" w:hAnsi="Times New Roman"/>
          <w:sz w:val="20"/>
        </w:rPr>
        <w:t xml:space="preserve">.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and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except in each case with respect to the events or conditions set forth in (i) through (viii) hereof, as would not, individually or in the aggregate,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Accounting Controls.</w:t>
      </w:r>
      <w:r>
        <w:rPr>
          <w:rFonts w:ascii="Times New Roman" w:hAnsi="Times New Roman"/>
          <w:sz w:val="20"/>
        </w:rPr>
        <w:t xml:space="preserve"> The Company maintains effective internal control over financial reporting (as defined under Rules 13a-15 and 15d-15 under the Exchange Act)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Pricing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Insurance. </w:t>
      </w:r>
      <w:r>
        <w:rPr>
          <w:rFonts w:ascii="Times New Roman" w:hAnsi="Times New Roman"/>
          <w:sz w:val="20"/>
        </w:rPr>
        <w:t xml:space="preserve">The Company carries or is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The Company has not been denied any insurance coverage which it has sought or for which it has applied.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Data Privacy</w:t>
      </w:r>
      <w:r>
        <w:rPr>
          <w:rFonts w:ascii="Times New Roman" w:hAnsi="Times New Roman"/>
          <w:sz w:val="20"/>
        </w:rPr>
        <w:t> </w:t>
      </w:r>
      <w:r>
        <w:rPr>
          <w:rFonts w:ascii="Times New Roman" w:hAnsi="Times New Roman"/>
          <w:i/>
          <w:sz w:val="20"/>
        </w:rPr>
        <w:t xml:space="preserve">&amp; Cybersecurity. </w:t>
      </w:r>
      <w:r>
        <w:rPr>
          <w:rFonts w:ascii="Times New Roman" w:hAnsi="Times New Roman"/>
          <w:sz w:val="20"/>
        </w:rPr>
        <w:t xml:space="preserve">Except as would not be expected, individually or in the aggregate, to result in a Material Adverse Effect, (A) since January 2022, there have been no security breaches or intrusions of the Company’s IT systems, networks, hardware, software, data, databases or services owned, leased, or licensed by the Company in the operation of the business as currently conducted (“IT Systems”) or resulting in any accidental, unlawful or unauthorized access, use, loss, exfiltration, alteration, encryption, destruction, or disclosure of Personal Data that required notice to any individual or Governmental Entity under Privacy Laws (“Security Incident”) including with respect to Personal Data of its customers, employees, or any third party which is maintained, processed or stored by the Company or the Company’s authorized suppliers or vendors on behalf of the Company (“Data Partners”); (B) neither the Company nor,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knowledge of the Company, any Data Partners have been notified of, and each of them have no knowledge of any event or circumstances that could reasonably be expected to result in any Security Incident; and (C) the Company and, to the knowledge of the Company, its Data Partners have implemented and maintained commercially reasonable measures (taking into account the Company’s size and resources as well as the nature and purpose of the processing and the types of Personal Data) designed to protect their IT Systems and Personal Data processed by or on behalf of the Company against Security Incidents that are reasonably consistent with any industry standards to which the Company certifies or as otherwise required by applicable regulatory requirements and legally binding standards. Except as would not be expected, individually or in the aggregate, to result in a Material Adverse Effect, since January 2022, the Company and, to the knowledge of the Company, its Data Partners are presently, and have been, in compliance with (i) all applicable Privacy Laws governing the Company’s processing of Personal Data, (ii) applicable published, public-facing privacy policies, and (iii) obligations contained in any written contract to which the Company is legally bound governing the privacy and the security of IT Systems and Personal Data . As used herein, “Personal Data” shall mean information in the Company’s possession, custody, or control that constitutes “personal data,” “personal information,” “protected health information,” or similar term as defined by Privacy Laws, and “Privacy Laws” shall mean each applicable law, all rules and regulations promulgated thereunder, and all guidance, guidelines or standards, judgments, or orders of any court or arbitrator or governmental or regulatory authority governing the protection, privacy, and security of Personal Data.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Foreign Corrupt Practices Act.</w:t>
      </w:r>
      <w:r>
        <w:rPr>
          <w:rFonts w:ascii="Times New Roman" w:hAnsi="Times New Roman"/>
          <w:sz w:val="20"/>
        </w:rPr>
        <w:t xml:space="preserve"> Neither the Company nor, to the knowledge of the Company, any director, officer, agent, employee, affiliate or other person acting on behalf of the Company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Money Laundering Laws</w:t>
      </w:r>
      <w:r>
        <w:rPr>
          <w:rFonts w:ascii="Times New Roman" w:hAnsi="Times New Roman"/>
          <w:sz w:val="20"/>
        </w:rPr>
        <w:t xml:space="preserve">. The operations of the Company are and have been conducted at all times in compliance with applicable financial recordkeeping and reporting requirements of the Currency and Foreign Transactions Reporting Act of 1970, as amended, the applicable money laundering statutes of all jurisdictions in which the Company conducts business, the rules and regulations thereunder and any related or similar applicable rules, regulations or guidelines, issued, administered or enforced by any Governmental Entity (collectively, the “Money Laundering Laws”); and no action, suit or proceeding by or before any Governmental Entity involving the Company with respect to the Money Laundering Laws is pending or, to the best knowledge of the Company, threatened.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 xml:space="preserve">OFAC. </w:t>
      </w:r>
      <w:r>
        <w:rPr>
          <w:rFonts w:ascii="Times New Roman" w:hAnsi="Times New Roman"/>
          <w:sz w:val="20"/>
        </w:rPr>
        <w:t xml:space="preserve">Neither the Company nor, to the knowledge of the Company, any director, officer, agent, employee, affiliate or representative of the Company is an individual or entity (“Person”) currently the subject or target of any sanctions administered or enforced by the United States Government, including, without limitation, the U.S. Department of the Treasury’s Office of Foreign Assets Control (“OFAC”), the United Nations Security Council (“UNSC”), the European Union, His Majesty’s Treasury (“HMT”), or other relevant sanctions authority (collectively, “Sanctions”), nor is the Company located, organized or resident in a country or territory that is the subject of Sanctions; and the Company will not directly or indirectly use the proceeds of the sale of the Shares, or lend, contribute or otherwise make available such proceeds to any joint venture partners or other Person, to fund any activities of or business with any Person, or in any country or territory, that, at the time of such funding, is the subject of Sanctions, in violation of Sanctions, or in any other manner that will result in a violation by any Person (including any Person participating in the transaction, whether as underwriter, advisor, investor or otherwise) of Sanctions.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Compliance with Health Care Laws</w:t>
      </w:r>
      <w:r>
        <w:rPr>
          <w:rFonts w:ascii="Times New Roman" w:hAnsi="Times New Roman"/>
          <w:sz w:val="20"/>
        </w:rPr>
        <w:t xml:space="preserve">. The Company is and, since January 2022, has been in compliance with all applicable Health Care Laws, except where failures to so comply would not reasonably be expected, individually or in the aggregate, to result in a Material Adverse Effect. For purposes of this Agreement, “Health Care Laws” means: (i) the applicable provisions of the Federal Food, Drug, and Cosmetic Act (21 U.S.C. Section 301 et seq.)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287, and 1349, the health care fraud criminal provisions under the Health Insurance Portability and Accountability Act (42 U.S.C. Section 1320d et seq.) (“HIPAA”),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all other similar local, state, federal, national, supranational and foreign laws; and (v) the regulations promulgated pursuant to such applicable laws set forth in subparts (i) through (iv). The Company has not received any FDA Form-483, written notice of adverse finding, warning letter, untitled letter, or other written notice alleging or asserting material noncompliance with any applicable Health Care Laws or any Governmental Licenses required pursuant to any applicable Health Care Laws, nor has the Company received notice of any claim, action, suit, proceeding, hearing, enforcement, investigation, arbitration or other action from any court or arbitrator or governmental authority or any other third party alleging that any product, operation, or activity is in material noncompliance with any applicable Health Care Laws or Governmental Licenses; nor, to the Company’s knowledge, is any such written notice, claim, action, suit, proceeding, hearing, enforcement, investigation, arbitration or other action threatened. Except as would not be expected, individually or in the aggregate, to result in a Material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Adverse Effect, the Company has filed, maintained or submitted all reports, documents, forms, notices, applications, records, claims, submissions and supplements or amendments (“Submissions”) as required by any applicable Health Care Laws, and all such Submissions were accurate on the date filed (or were corrected or supplemented by a subsequent submission). The Company is not a party to any corporate integrity agreements, deferred or non-prosecution agreements, monitoring agreements, consent decrees, settlement orders, or similar agreements with or imposed by any Governmental Entity. Neither the Company nor any of its employees, officers, directors, or, to the Company’s knowledge, agents has been excluded, suspended or debarred from participation in any U.S. federal health care program or human clinical research.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Clinical Studies</w:t>
      </w:r>
      <w:r>
        <w:rPr>
          <w:rFonts w:ascii="Times New Roman" w:hAnsi="Times New Roman"/>
          <w:sz w:val="20"/>
        </w:rPr>
        <w:t xml:space="preserve">. The preclinical studies, clinical trials and tests conducted or sponsored by or on behalf of the Company, or in which the Company has participated with respect to its products or product candidates, including without limitation, any such studies, tests and trials that are described in, or the results of which are referred to in, the Registration Statement, the Pricing Disclosure Package, and the Prospectus (collectively “Studies”) were and, if still pending, are being conducted in all material respects in accordance with all applicable Health Care Laws, Governmental Licenses, and any protocols to which such studies, tests, or trials are or were subject; each description of such Studies, and the results thereof, contained in the Registration Statement, the Pricing Disclosure Package and the Prospectus is accurate in all material respects, and the Company has no knowledge of any other studies or tests, the results of which are inconsistent with, or otherwise call into question, the results described or referred to in the Registration Statement, the Pricing Disclosure Package and the Prospectus; the Company has not received any written notices or other written correspondence from the FDA or any other federal, state, local or foreign governmental or regulatory authority, or any institutional review board having authority over the conduct of such Studies, requiring or threatening the termination, suspension or material modification of any Studies currently being conducted or proposed to be conducted by or on behalf of the Company, other than ordinary course communications with respect to modifications in connection with the design and implementation of such Studies, and, to the Company’s knowledge, there are no reasonable grounds for the same.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Safety Notices</w:t>
      </w:r>
      <w:r>
        <w:rPr>
          <w:rFonts w:ascii="Times New Roman" w:hAnsi="Times New Roman"/>
          <w:sz w:val="20"/>
        </w:rPr>
        <w:t xml:space="preserve">. The manufacture of the Company’s products by or, to the knowledge of the Company, on behalf of the Company, is being and since January 2022, has been, conducted in compliance in all material respects with all applicable Health Care Laws, including, without limitation, the FDA’s current good manufacturing practice regulations codified at 21 C.F.R. Part 820, and, to the extent applicable, the respective counterparts thereof promulgated by governmental authorities in countries outside the United States. Except as disclosed in the Registration Statement, the Pricing Disclosure Package and the Prospectus, there have been no material recalls, field notifications, field corrections, market withdrawals or replacements, warnings, “dear doctor” letters, investigator notices, safety alerts or other notice of action relating to an alleged lack of safety, efficacy, or regulatory compliance of the Company’s products (collectively, “Safety Notices”); and to the Company’s knowledge, there are no facts that would be reasonably likely to result in (x) a material Safety Notice with respect to the Company’s products, (y) a material change in labeling of any of the Company’s products due to safety or efficacy concerns, or (z) a termination or suspension of marketing or testing of any of the Company’s products.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No Broker’s Fees.</w:t>
      </w:r>
      <w:r>
        <w:rPr>
          <w:rFonts w:ascii="Times New Roman" w:hAnsi="Times New Roman"/>
          <w:sz w:val="20"/>
        </w:rPr>
        <w:t xml:space="preserve"> The Company is not a party to any contract, agreement or understanding with any person (other than this Agreement) that would give rise to a valid claim against any of them or any Underwriter for a brokerage commission, finder’s fee or like payment in connection with the offering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No 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the Pricing Disclosure Package and the Prospectus and have been waived.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No Stabilization.</w:t>
      </w:r>
      <w:r>
        <w:rPr>
          <w:rFonts w:ascii="Times New Roman" w:hAnsi="Times New Roman"/>
          <w:sz w:val="20"/>
        </w:rPr>
        <w:t xml:space="preserve"> Neither the Company nor, to the Company’s knowledge,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Margin Rules</w:t>
      </w:r>
      <w:r>
        <w:rPr>
          <w:rFonts w:ascii="Times New Roman" w:hAnsi="Times New Roman"/>
          <w:sz w:val="20"/>
        </w:rPr>
        <w:t xml:space="preserve">. Neither the issuance, sale and delivery of the Shares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Statistical and Market Data.</w:t>
      </w:r>
      <w:r>
        <w:rPr>
          <w:rFonts w:ascii="Times New Roman" w:hAnsi="Times New Roman"/>
          <w:sz w:val="20"/>
        </w:rPr>
        <w:t xml:space="preserve"> Any statistical and market-related data included in the Registration Statement, the Pricing Disclosure Package or the Prospectus are based on or derived from sources that the Company believes, after reasonable inquiry, to be reliable and accurate in all material respects, or represent the Company’s good faith estimates that are made on the basis of data derived from such sources,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Sarbanes-Oxley Act</w:t>
      </w:r>
      <w:r>
        <w:rPr>
          <w:rFonts w:ascii="Times New Roman" w:hAnsi="Times New Roman"/>
          <w:sz w:val="20"/>
        </w:rPr>
        <w:t xml:space="preserve">.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(ww) </w:t>
      </w:r>
      <w:r>
        <w:rPr>
          <w:rFonts w:ascii="Times New Roman" w:hAnsi="Times New Roman"/>
          <w:i/>
          <w:sz w:val="20"/>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bona fide offer (within the meaning of Rule 164(h)(2) of the Securities Act Regulations) of the Shares and at the date hereof, the Company was not and is not an “ineligible issuer,” as defined in Rule 405, without taking account of any determination by the Commission pursuant to Rule 405 that it is not necessary that the Company be considered an ineligible issuer.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will file any Issuer Free Writing Prospectus to the extent required by Rule 433 under the Securities Act;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 for this offering within the time period required by Rule 456(b)(1) under the Securities Act (without giving effect to the proviso therein) and in any event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The Company will deliver, upon written request, without charge, (i) to the Representatives, five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Representatives.</w:t>
      </w:r>
      <w:r>
        <w:rPr>
          <w:rFonts w:ascii="Times New Roman" w:hAnsi="Times New Roman"/>
          <w:sz w:val="20"/>
        </w:rPr>
        <w:t xml:space="preserve"> The Company will advise the Representatives promptly, and confirm such advice in writing (which may be by electronic mail), (i) when the Registration Statement has become effective; (ii) when any amendment to the Registration Statement has been filed or becomes effective; (iii) when any supplement to the Pricing Disclosure Package, the Prospectus, any Issuer Free Writing Prospectus,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to the knowledge of the Company,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or any Written Testing-the-Waters Communication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Securities for offer and sale in any jurisdiction, or, to the knowledge of the Company,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Securities and, if any such order is issued, will use reasonable best efforts to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Compliance.</w:t>
      </w:r>
      <w:r>
        <w:rPr>
          <w:rFonts w:ascii="Times New Roman" w:hAnsi="Times New Roman"/>
          <w:sz w:val="20"/>
        </w:rPr>
        <w:t xml:space="preserve"> If required by applicable law, the Company will qualify the Securities for offer and sale under the securities or Blue Sky laws of such jurisdictions as the Representatives shall reasonably request will continue such qualifications in effect so long as required for distribution of the Securities;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Representatives as soon as reasonably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 to its security holders and the Representatives to the extent they are filed on the Commission’s Electronic Data Gathering Analysis and Retrieval system (“EDGAR”).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Clear Market.</w:t>
      </w:r>
      <w:r>
        <w:rPr>
          <w:rFonts w:ascii="Times New Roman" w:hAnsi="Times New Roman"/>
          <w:sz w:val="20"/>
        </w:rPr>
        <w:t xml:space="preserve"> For a period of 60 days after the date of the Prospectus (the “Restricted Period”), the Company will not (i) offer, pledge, sell, contract to sell, sell any option or contract to purchase, purchase any option or contract to sell, grant any option, right or warrant to purchase, hedge,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hedging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J.P. Morgan Securities LLC and Piper Sandler &amp; Co., other than the Securities to be sold hereunder and the delivery of the Warrant Shares upon exercise of the Warrants.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vesting and settlement of RSUs or otherwise) to the Company’s employees, officers, directors, advisors, or consultants pursuant to the terms of an equity compensation plan in effect as of the Closing Date and described in the Prospectus, provided that any director or executive officer appointed after the date hereof who is a recipient of such award during the Restricted Period enter into a lock-up agreement with the Underwriters substantially in the form of Exhibit B hereto; (iii) the issuance of up to 5% of the outstanding shares of Stock, or securities convertible into, exercisable for, or which are otherwise exchangeable for, Stock, immediately following the Closing Date, in acquisitions, including pursuant to any employee benefit plan assumed in any such acquisition, joint ventures, collaborations, licensing or other commercial relationships, or any other similar strategic transactions, provided that such recipients enter into a lock-up agreement with the Underwriters substantially in the form of Exhibit B hereto; (iv) the filing of, or the announcement of an intention of the filing of, any registration statement on Form S-8 (or any successor form thereto) relating to securities granted or to be granted pursuant to any plan in effect on the date of this Agreement and described in the Prospectus or any assumed benefit plan pursuant to an acquisition or similar strategic transaction; or (v) the establishment of trading plans on behalf of stockholders, officers or directors pursuant to Rule 10b5-1 under the Exchange Act for the transfer of Stock, </w:t>
      </w:r>
      <w:r>
        <w:rPr>
          <w:rFonts w:ascii="Times New Roman" w:hAnsi="Times New Roman"/>
          <w:i/>
          <w:sz w:val="20"/>
        </w:rPr>
        <w:t>provided</w:t>
      </w:r>
      <w:r>
        <w:rPr>
          <w:rFonts w:ascii="Times New Roman" w:hAnsi="Times New Roman"/>
          <w:sz w:val="20"/>
        </w:rPr>
        <w:t xml:space="preserve"> that such plans do not provide for the transfer of Stock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Use of Proceeds.</w:t>
      </w:r>
      <w:r>
        <w:rPr>
          <w:rFonts w:ascii="Times New Roman" w:hAnsi="Times New Roman"/>
          <w:sz w:val="20"/>
        </w:rPr>
        <w:t xml:space="preserve"> The Company will apply the net proceeds from the sale of the Securities as described in each of the Registration Statement, the Pricing Disclosure Package and the Prospectus under the heading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Stabilization.</w:t>
      </w:r>
      <w:r>
        <w:rPr>
          <w:rFonts w:ascii="Times New Roman" w:hAnsi="Times New Roman"/>
          <w:sz w:val="20"/>
        </w:rPr>
        <w:t xml:space="preserve"> Neither the Company nor its affiliates will take, directly or indirectly, any action designed to or that could reasonably be expected to cause or result in any stabilization or manipulation of the price of the Stock.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Company will use its reasonable best efforts to list for quotation the Shares and the Warrant Shares on the Nasdaq Global Market (the “Nasdaq Market”).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Reports.</w:t>
      </w:r>
      <w:r>
        <w:rPr>
          <w:rFonts w:ascii="Times New Roman" w:hAnsi="Times New Roman"/>
          <w:sz w:val="20"/>
        </w:rPr>
        <w:t xml:space="preserve"> For a period of three years from the date of this Agreement, so long as the Company is subject to the reporting requirements of either Section 13 or Section 15(d) of the Exchange Act, the Company will furnish to the Representatives, as soon as they are available, copies of all reports or other communications (financial or other) furnished to holders of the Securities or Warrant Shares,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Representatives to the extent they are filed on the Commission’s Electronic Data Gathering, Analysis, and Retrieval system.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For a period of three years from the date of this Agreement,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Shelf Renewal</w:t>
      </w:r>
      <w:r>
        <w:rPr>
          <w:rFonts w:ascii="Times New Roman" w:hAnsi="Times New Roman"/>
          <w:sz w:val="20"/>
        </w:rPr>
        <w:t xml:space="preserve">. If immediately prior to the third anniversary (the “Renewal Deadline”) of the initial effective date of the Registration Statement, any of the Securities remain unsold by the Underwriters, the Company will, prior to the Renewal Deadline, file, if it has not already done so and is eligible to do so, a new automatic shelf registration statement relating to the Securities, in a form satisfactory to the Representatives. If the Company is not eligible to file an automatic shelf registration statement, the Company will, prior to the Renewal Deadline, if it has not already done so, file a new shelf registration statement relating to the Securities, in a form satisfactory to the Representative, and will use its best efforts to cause such registration statement to be declared effective within 180 days after the Renewal Deadline. The Company will take all other action necessary or appropriate to permit the issuance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Emerging Growth Company</w:t>
      </w:r>
      <w:r>
        <w:rPr>
          <w:rFonts w:ascii="Times New Roman" w:hAnsi="Times New Roman"/>
          <w:sz w:val="20"/>
        </w:rPr>
        <w:t xml:space="preserve">. The Company will promptly notify the Representatives if the Company ceases to be an Emerging Growth Company at any time prior to the later of (i) completion of the distribution of Shares within the meaning of the Securities Act and (ii) completion of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Warrant Shares Reserved</w:t>
      </w:r>
      <w:r>
        <w:rPr>
          <w:rFonts w:ascii="Times New Roman" w:hAnsi="Times New Roman"/>
          <w:sz w:val="20"/>
        </w:rPr>
        <w:t xml:space="preserve">. The Company shall, at all times while any Warrants are outstanding, reserve and keep available out of the aggregate of its authorized but unissued and otherwise unreserved Common Stock, solely for the purpose of enabling it to issue Warrant Shares upon exercise of such Warrants, the number of Warrant Shares that are initially issuable and deliverable upon the exercise of the then-outstanding Warrants.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Agreements of the Underwriters</w:t>
      </w:r>
      <w:r>
        <w:rPr>
          <w:rFonts w:ascii="Times New Roman" w:hAnsi="Times New Roman"/>
          <w:sz w:val="20"/>
        </w:rPr>
        <w:t xml:space="preserve">. Each Underwriter hereby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approved by the Company in advance in writing), or (iii) any free writing prospectus prepared by such underwriter and approved by the Company in advance in writing (each such free writing prospectus referred to in clauses (i) or (iii), an “Underwriter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(b) 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Times New Roman" w:hAnsi="Times New Roman"/>
          <w:i/>
          <w:sz w:val="20"/>
        </w:rPr>
        <w:t>provided</w:t>
      </w:r>
      <w:r>
        <w:rPr>
          <w:rFonts w:ascii="Times New Roman" w:hAnsi="Times New Roman"/>
          <w:sz w:val="20"/>
        </w:rPr>
        <w:t xml:space="preserve"> that Underwriters may use a term sheet substantially in the form of Annex D hereto without the consent of the Company; </w:t>
      </w:r>
      <w:r>
        <w:rPr>
          <w:rFonts w:ascii="Times New Roman" w:hAnsi="Times New Roman"/>
          <w:i/>
          <w:sz w:val="20"/>
        </w:rPr>
        <w:t>provided further</w:t>
      </w:r>
      <w:r>
        <w:rPr>
          <w:rFonts w:ascii="Times New Roman" w:hAnsi="Times New Roman"/>
          <w:sz w:val="20"/>
        </w:rPr>
        <w:t xml:space="preserve"> that any Underwriter using such term sheet shall notify the Company, and provide a copy of such term sheet to the Company, prior to, or substantially concurrently with, the first use of such term sheet. </w:t>
      </w:r>
    </w:p>
    <w:p>
      <w:pPr>
        <w:pStyle w:val="TextBody"/>
        <w:bidi w:val="0"/>
        <w:spacing w:before="120" w:after="0"/>
        <w:jc w:val="left"/>
        <w:rPr>
          <w:rFonts w:ascii="Times New Roman" w:hAnsi="Times New Roman"/>
          <w:sz w:val="20"/>
        </w:rPr>
      </w:pPr>
      <w:r>
        <w:rPr>
          <w:rFonts w:ascii="Times New Roman" w:hAnsi="Times New Roman"/>
          <w:sz w:val="20"/>
        </w:rPr>
        <w:t xml:space="preserve">(c) It is not subject to any pending proceeding under Section 8A of the Securities Act with respect to the offering (and will promptly notify the Company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Underwritten Securities on the Closing Date or the Option Shares on the Additional Closing Date, as the case may be,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contained herein 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Material Adverse Change.</w:t>
      </w:r>
      <w:r>
        <w:rPr>
          <w:rFonts w:ascii="Times New Roman" w:hAnsi="Times New Roman"/>
          <w:sz w:val="20"/>
        </w:rPr>
        <w:t xml:space="preserve"> No event or condition of a type described in Section 3(i)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 Certificate.</w:t>
      </w:r>
      <w:r>
        <w:rPr>
          <w:rFonts w:ascii="Times New Roman" w:hAnsi="Times New Roman"/>
          <w:sz w:val="20"/>
        </w:rPr>
        <w:t xml:space="preserve"> The Representatives shall have received on and as of the Closing Date or the Additional Closing Date, as the case may 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 above.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Comfort Letters.</w:t>
      </w:r>
      <w:r>
        <w:rPr>
          <w:rFonts w:ascii="Times New Roman" w:hAnsi="Times New Roman"/>
          <w:sz w:val="20"/>
        </w:rPr>
        <w:t xml:space="preserve"> On the date of this Agreement and on the Closing Date or the Additional Closing Date, as the case may be, Ernst &amp; 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Opinion and 10b-5 Statement of Counsel for the Company.</w:t>
      </w:r>
      <w:r>
        <w:rPr>
          <w:rFonts w:ascii="Times New Roman" w:hAnsi="Times New Roman"/>
          <w:sz w:val="20"/>
        </w:rPr>
        <w:t xml:space="preserve"> Cooley LLP, counsel for the Company, shall have furnished to the Representatives, at the request of the Company, its written opinion and 10b-5 statement, dated the Closing Date or the Additional Closing Date, as the case may be, and addressed to the Underwriters,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of Intellectual Property Counsel for the Company.</w:t>
      </w:r>
      <w:r>
        <w:rPr>
          <w:rFonts w:ascii="Times New Roman" w:hAnsi="Times New Roman"/>
          <w:sz w:val="20"/>
        </w:rPr>
        <w:t xml:space="preserve"> Patnstr, APC, intellectual property counsel for the Company, shall have furnished to the Representatives, at the request of the Company, its written opinion, dated the Closing Date or the Additional Closing Date, as the case may be, and addressed to the Underwriters, in form and substance reasonably satisfactory to the Representatives.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and 10b-5 Statement of Counsel for the Underwriters.</w:t>
      </w:r>
      <w:r>
        <w:rPr>
          <w:rFonts w:ascii="Times New Roman" w:hAnsi="Times New Roman"/>
          <w:sz w:val="20"/>
        </w:rPr>
        <w:t xml:space="preserve"> The Representatives shall have received on and as of the Closing Date or the Additional Closing Date, as the case may be, an opinion and 10b-5 statement, addressed to the Underwriters, of Latham &amp; Watkins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Legal Impediment to Issuance and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or sale of the Securities; and no injunction or order of any federal, state or foreign court shall have been issued that would, as of the Closing Date or the Additional Closing Date, as the case may be, prevent the issuance or sale of the Securities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Good Standing</w:t>
      </w:r>
      <w:r>
        <w:rPr>
          <w:rFonts w:ascii="Times New Roman" w:hAnsi="Times New Roman"/>
          <w:sz w:val="20"/>
        </w:rPr>
        <w:t xml:space="preserve">. The Representatives shall have received on and as of the Closing Date or the Additional Closing Date, as the case may be, satisfactory evidence of the good standing of the Company in its jurisdiction of organization and its good standing in such other jurisdictions as the Representatives may reasonably request,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Company shall have notified the Nasdaq Market of the listing of the Shares to be delivered on the Closing Date or the Additional Closing Date, as the case may be, and any Warrant Shares, when issued and delivered upon exercise as provided under the Warrants, and the Nasdaq Market shall not have notified the Company that it has any objection to such notification.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Lock-up Agreements</w:t>
      </w:r>
      <w:r>
        <w:rPr>
          <w:rFonts w:ascii="Times New Roman" w:hAnsi="Times New Roman"/>
          <w:sz w:val="20"/>
        </w:rPr>
        <w:t xml:space="preserve">. The “lock-up” agreements, each substantially in the form of Exhibit B hereto, between you and certain officers and directors of the Company relating to sales and certain other dispositions of shares of Stock or certain other securities, delivered to you on or before the date hereof, shall be in full force and effect on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Additional Documents.</w:t>
      </w:r>
      <w:r>
        <w:rPr>
          <w:rFonts w:ascii="Times New Roman" w:hAnsi="Times New Roman"/>
          <w:sz w:val="20"/>
        </w:rPr>
        <w:t xml:space="preserve"> On or prior to the Closing Date or the Additional Closing Date, as the case may be, the Company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sixteenth and seventeenth paragraphs under the caption “Underwriting.”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the preceding paragraphs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and the Underwriters agree that it would not be just and equitable if contribution pursuant to paragraph (d)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7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Effectiveness of Agreement</w:t>
      </w:r>
      <w:r>
        <w:rPr>
          <w:rFonts w:ascii="Times New Roman" w:hAnsi="Times New Roman"/>
          <w:sz w:val="20"/>
        </w:rPr>
        <w:t xml:space="preserve">. This Agreement shall become effective as of the date first written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Securities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does not exceed one-eleventh of the aggregate number of Securities to be purchased on such date, then the Company shall have the right to require each non-defaulting Underwriter to purchase the number of Securities that such Underwriter agreed to purchase hereunder on such date plus such Underwriter’s pro rata share (based on the number of Securities that such Underwriter agreed to purchase on such date) of the Securities of such defaulting Underwriter or Underwriters for which such arrangements have not been made.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exceeds one-eleventh of the aggregate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including any stock or other transfer taxes and any stamp or other duties payable upon the sale, issuance or delivery of the Shares to the Underwriters, or in the case of the Warrants, to the purchaser thereof, pursuant to this Agreement;;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in an amount not to exceed $30,000 when taken together with the reasonable fees and expenses reimbursed pursuant to clause (vii) below); (v) the cost of preparing stock certificates; (vi) the costs and charges of any transfer agent and any registrar; (vii) all expenses and application fees incurred in connection with any filing with, and clearance of the offering by, FINRA in an amount not to exceed $30,000 when taken together with the reasonable fees and expenses reimbursed pursuant to clause (iv) above; (viii) all expenses incurred by the Company in connection with any “road show” presentation to potential investors; and (ix) all expenses and application fees related to the listing of the Shares and the Warrant Shares on the Nasdaq Market; and (x) the costs of reproducing and distributing each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9, (ii) the Company for any reason fails to tender the Securities for delivery to the Underwriters, or in the case of the Warrants, to the purchaser thereof or (iii) the Underwriters decline to purchase the Securities for any reason permitted under this Agreement, the Company agrees to reimburse the Underwriters for all out-of-pocket costs and expenses (including the fees and expenses of their counsel) reasonable and documented by the Underwriters in connection with this Agreement and the offering contemplated hereby. For the avoidance of doubt, it is understood that the Company shall not pay or reimburse any costs, fees or expenses incurred by any Underwriter that defaults on its obligations to purchase the Securities; provided, however that the Company will still pay and reimburse any costs, fees or expenses of the non-defaulting Underwriters as provided in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 or the directors, officers, controlling persons or affiliates referred to in Section 7 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J.P. Morgan Securities LLC, 270 Park Avenue, New York, New York 10017 (fax: (212) 622-8358), Attention: Equity Syndicate Desk; c/o Piper Sandler &amp; Co., 350 North 5th Street, Suite 1000, Minneapolis, Minnesota 55401 (fax: (612) 303-1070), Attention: Equity Capital Markets; c/o Wells Fargo Securities, LLC, 500 West 33rd Street, 14th Floor, New York, New York 10001 (fax: (212) 214-5918), Attention: Equity Syndicate Department; and c/o Leerink Partners LLC, 1301 Avenue of the Americas, 5th Floor, New York, New York 10019 (fax: (646) 499-7051), Attention: Stuart R. Nayman, Esq. Notices to the Company shall be given to it at 11 Hughes, Irvine, CA 92618, Attention: Sean Saint and Stephen Feider, with a copy to Cooley LLP at 10265 Science Center Drive, San Diego, CA 92121, Attention: Carlos Ramirez, Mark Weeks and Charles S. Kim.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Submission to Jurisdiction</w:t>
      </w:r>
      <w:r>
        <w:rPr>
          <w:rFonts w:ascii="Times New Roman" w:hAnsi="Times New Roman"/>
          <w:sz w:val="20"/>
        </w:rPr>
        <w:t xml:space="preserve">.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the Company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16(e):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Integration.</w:t>
      </w:r>
      <w:r>
        <w:rPr>
          <w:rFonts w:ascii="Times New Roman" w:hAnsi="Times New Roman"/>
          <w:sz w:val="20"/>
        </w:rPr>
        <w:t xml:space="preserve"> This Agreement supersedes all prior agreements and understandings (whether written or not) between the Company and the Underwriters, or any of them, with respect to the subject matter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BETA BIONICS, INC.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Sean Saint</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Sean Saint</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17"/>
        <w:gridCol w:w="97"/>
        <w:gridCol w:w="3368"/>
      </w:tblGrid>
      <w:tr>
        <w:trPr/>
        <w:tc>
          <w:tcPr>
            <w:tcW w:w="617"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Accepted: As of the date first written above</w:t>
            </w:r>
          </w:p>
        </w:tc>
      </w:tr>
      <w:tr>
        <w:trPr/>
        <w:tc>
          <w:tcPr>
            <w:tcW w:w="4082" w:type="dxa"/>
            <w:gridSpan w:val="3"/>
            <w:tcBorders/>
            <w:vAlign w:val="bottom"/>
          </w:tcPr>
          <w:p>
            <w:pPr>
              <w:pStyle w:val="TableContents"/>
              <w:bidi w:val="0"/>
              <w:spacing w:before="0" w:after="283"/>
              <w:jc w:val="left"/>
              <w:rPr/>
            </w:pPr>
            <w:r>
              <w:rPr/>
              <w:t>J.P. MORGAN SECURITIES LLC</w:t>
            </w:r>
          </w:p>
        </w:tc>
      </w:tr>
      <w:tr>
        <w:trPr/>
        <w:tc>
          <w:tcPr>
            <w:tcW w:w="4082" w:type="dxa"/>
            <w:gridSpan w:val="3"/>
            <w:tcBorders/>
            <w:vAlign w:val="bottom"/>
          </w:tcPr>
          <w:p>
            <w:pPr>
              <w:pStyle w:val="TableContents"/>
              <w:bidi w:val="0"/>
              <w:spacing w:before="0" w:after="283"/>
              <w:jc w:val="left"/>
              <w:rPr/>
            </w:pPr>
            <w:r>
              <w:rPr/>
              <w:t>PIPER SANDLER &amp; CO.</w:t>
            </w:r>
          </w:p>
        </w:tc>
      </w:tr>
      <w:tr>
        <w:trPr/>
        <w:tc>
          <w:tcPr>
            <w:tcW w:w="4082" w:type="dxa"/>
            <w:gridSpan w:val="3"/>
            <w:tcBorders/>
            <w:vAlign w:val="bottom"/>
          </w:tcPr>
          <w:p>
            <w:pPr>
              <w:pStyle w:val="TableContents"/>
              <w:bidi w:val="0"/>
              <w:spacing w:before="0" w:after="283"/>
              <w:jc w:val="left"/>
              <w:rPr/>
            </w:pPr>
            <w:r>
              <w:rPr/>
              <w:t>WELLS FARGO SECURITIES, LLC</w:t>
            </w:r>
          </w:p>
        </w:tc>
      </w:tr>
      <w:tr>
        <w:trPr/>
        <w:tc>
          <w:tcPr>
            <w:tcW w:w="4082" w:type="dxa"/>
            <w:gridSpan w:val="3"/>
            <w:tcBorders/>
            <w:vAlign w:val="bottom"/>
          </w:tcPr>
          <w:p>
            <w:pPr>
              <w:pStyle w:val="TableContents"/>
              <w:bidi w:val="0"/>
              <w:spacing w:before="0" w:after="283"/>
              <w:jc w:val="left"/>
              <w:rPr/>
            </w:pPr>
            <w:r>
              <w:rPr/>
              <w:t>LEERINK PARTNERS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For themselves and on behalf of the several Underwriters listed in Schedule 1 hereto.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J.P. MORGAN SECURITIES LLC</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68" w:type="dxa"/>
            <w:tcBorders>
              <w:bottom w:val="single" w:sz="2" w:space="0" w:color="000000"/>
            </w:tcBorders>
            <w:tcMar>
              <w:bottom w:w="28" w:type="dxa"/>
            </w:tcMar>
          </w:tcPr>
          <w:p>
            <w:pPr>
              <w:pStyle w:val="TableContents"/>
              <w:bidi w:val="0"/>
              <w:spacing w:before="0" w:after="283"/>
              <w:jc w:val="left"/>
              <w:rPr/>
            </w:pPr>
            <w:r>
              <w:rPr/>
              <w:t>/s/ Benjamin Burdett</w:t>
            </w:r>
          </w:p>
        </w:tc>
      </w:tr>
      <w:tr>
        <w:trPr/>
        <w:tc>
          <w:tcPr>
            <w:tcW w:w="617"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PIPER SANDLER &amp; CO.</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68" w:type="dxa"/>
            <w:tcBorders>
              <w:bottom w:val="single" w:sz="2" w:space="0" w:color="000000"/>
            </w:tcBorders>
            <w:tcMar>
              <w:bottom w:w="28" w:type="dxa"/>
            </w:tcMar>
          </w:tcPr>
          <w:p>
            <w:pPr>
              <w:pStyle w:val="TableContents"/>
              <w:bidi w:val="0"/>
              <w:spacing w:before="0" w:after="283"/>
              <w:jc w:val="left"/>
              <w:rPr/>
            </w:pPr>
            <w:r>
              <w:rPr/>
              <w:t>/s/ Neil Riley</w:t>
            </w:r>
          </w:p>
        </w:tc>
      </w:tr>
      <w:tr>
        <w:trPr/>
        <w:tc>
          <w:tcPr>
            <w:tcW w:w="617"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WELLS FARGO SECURITIES, LLC</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68" w:type="dxa"/>
            <w:tcBorders>
              <w:bottom w:val="single" w:sz="2" w:space="0" w:color="000000"/>
            </w:tcBorders>
            <w:tcMar>
              <w:bottom w:w="28" w:type="dxa"/>
            </w:tcMar>
          </w:tcPr>
          <w:p>
            <w:pPr>
              <w:pStyle w:val="TableContents"/>
              <w:bidi w:val="0"/>
              <w:spacing w:before="0" w:after="283"/>
              <w:jc w:val="left"/>
              <w:rPr/>
            </w:pPr>
            <w:r>
              <w:rPr/>
              <w:t>/s/ Ryan Haney</w:t>
            </w:r>
          </w:p>
        </w:tc>
      </w:tr>
      <w:tr>
        <w:trPr/>
        <w:tc>
          <w:tcPr>
            <w:tcW w:w="617"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LEERINK PARTNERS LLC</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368" w:type="dxa"/>
            <w:tcBorders>
              <w:bottom w:val="single" w:sz="2" w:space="0" w:color="000000"/>
            </w:tcBorders>
            <w:tcMar>
              <w:bottom w:w="28" w:type="dxa"/>
            </w:tcMar>
          </w:tcPr>
          <w:p>
            <w:pPr>
              <w:pStyle w:val="TableContents"/>
              <w:bidi w:val="0"/>
              <w:spacing w:before="0" w:after="283"/>
              <w:jc w:val="left"/>
              <w:rPr/>
            </w:pPr>
            <w:r>
              <w:rPr/>
              <w:t>/s/ Bernhard Sakmann</w:t>
            </w:r>
          </w:p>
        </w:tc>
      </w:tr>
      <w:tr>
        <w:trPr/>
        <w:tc>
          <w:tcPr>
            <w:tcW w:w="617"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96"/>
        <w:gridCol w:w="397"/>
        <w:gridCol w:w="100"/>
        <w:gridCol w:w="1703"/>
        <w:gridCol w:w="60"/>
        <w:gridCol w:w="397"/>
        <w:gridCol w:w="113"/>
        <w:gridCol w:w="1876"/>
        <w:gridCol w:w="63"/>
      </w:tblGrid>
      <w:tr>
        <w:trPr/>
        <w:tc>
          <w:tcPr>
            <w:tcW w:w="5496"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9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w:t>
            </w:r>
          </w:p>
        </w:tc>
        <w:tc>
          <w:tcPr>
            <w:tcW w:w="397" w:type="dxa"/>
            <w:tcBorders/>
            <w:vAlign w:val="bottom"/>
          </w:tcPr>
          <w:p>
            <w:pPr>
              <w:pStyle w:val="TableContents"/>
              <w:bidi w:val="0"/>
              <w:spacing w:before="0" w:after="283"/>
              <w:jc w:val="left"/>
              <w:rPr/>
            </w:pPr>
            <w:r>
              <w:rPr/>
              <w:t>  </w:t>
            </w:r>
          </w:p>
        </w:tc>
        <w:tc>
          <w:tcPr>
            <w:tcW w:w="1803" w:type="dxa"/>
            <w:gridSpan w:val="2"/>
            <w:tcBorders>
              <w:bottom w:val="single" w:sz="8" w:space="0" w:color="000000"/>
            </w:tcBorders>
            <w:tcMar>
              <w:bottom w:w="28" w:type="dxa"/>
            </w:tcMar>
            <w:vAlign w:val="bottom"/>
          </w:tcPr>
          <w:p>
            <w:pPr>
              <w:pStyle w:val="TableContents"/>
              <w:bidi w:val="0"/>
              <w:spacing w:before="0" w:after="283"/>
              <w:jc w:val="center"/>
              <w:rPr/>
            </w:pPr>
            <w:r>
              <w:rPr/>
              <w:t>Number of Shares</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bottom"/>
          </w:tcPr>
          <w:p>
            <w:pPr>
              <w:pStyle w:val="TableContents"/>
              <w:bidi w:val="0"/>
              <w:spacing w:before="0" w:after="283"/>
              <w:jc w:val="center"/>
              <w:rPr/>
            </w:pPr>
            <w:r>
              <w:rPr/>
              <w:t>Number of Warrants</w:t>
            </w:r>
          </w:p>
        </w:tc>
        <w:tc>
          <w:tcPr>
            <w:tcW w:w="63" w:type="dxa"/>
            <w:tcBorders/>
            <w:vAlign w:val="bottom"/>
          </w:tcPr>
          <w:p>
            <w:pPr>
              <w:pStyle w:val="TableContents"/>
              <w:bidi w:val="0"/>
              <w:spacing w:before="0" w:after="283"/>
              <w:jc w:val="left"/>
              <w:rPr/>
            </w:pPr>
            <w:r>
              <w:rPr/>
              <w:t> </w:t>
            </w:r>
          </w:p>
        </w:tc>
      </w:tr>
      <w:tr>
        <w:trPr/>
        <w:tc>
          <w:tcPr>
            <w:tcW w:w="5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703" w:type="dxa"/>
            <w:tcBorders/>
            <w:shd w:fill="CCEEFF" w:val="clear"/>
            <w:vAlign w:val="bottom"/>
          </w:tcPr>
          <w:p>
            <w:pPr>
              <w:pStyle w:val="TableContents"/>
              <w:bidi w:val="0"/>
              <w:spacing w:before="0" w:after="283"/>
              <w:jc w:val="right"/>
              <w:rPr/>
            </w:pPr>
            <w:r>
              <w:rPr/>
              <w:t>2,984,348</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right"/>
              <w:rPr/>
            </w:pPr>
            <w:r>
              <w:rPr/>
              <w:t>406,959</w:t>
            </w:r>
          </w:p>
        </w:tc>
        <w:tc>
          <w:tcPr>
            <w:tcW w:w="63" w:type="dxa"/>
            <w:tcBorders/>
            <w:shd w:fill="CCEEFF" w:val="clear"/>
            <w:vAlign w:val="bottom"/>
          </w:tcPr>
          <w:p>
            <w:pPr>
              <w:pStyle w:val="TableContents"/>
              <w:bidi w:val="0"/>
              <w:spacing w:before="0" w:after="283"/>
              <w:jc w:val="left"/>
              <w:rPr/>
            </w:pPr>
            <w:r>
              <w:rPr/>
              <w:t> </w:t>
            </w:r>
          </w:p>
        </w:tc>
      </w:tr>
      <w:tr>
        <w:trPr/>
        <w:tc>
          <w:tcPr>
            <w:tcW w:w="5496" w:type="dxa"/>
            <w:tcBorders/>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3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703" w:type="dxa"/>
            <w:tcBorders/>
            <w:vAlign w:val="bottom"/>
          </w:tcPr>
          <w:p>
            <w:pPr>
              <w:pStyle w:val="TableContents"/>
              <w:bidi w:val="0"/>
              <w:spacing w:before="0" w:after="283"/>
              <w:jc w:val="right"/>
              <w:rPr/>
            </w:pPr>
            <w:r>
              <w:rPr/>
              <w:t>1,989,566</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right"/>
              <w:rPr/>
            </w:pPr>
            <w:r>
              <w:rPr/>
              <w:t>271,306</w:t>
            </w:r>
          </w:p>
        </w:tc>
        <w:tc>
          <w:tcPr>
            <w:tcW w:w="63" w:type="dxa"/>
            <w:tcBorders/>
            <w:vAlign w:val="bottom"/>
          </w:tcPr>
          <w:p>
            <w:pPr>
              <w:pStyle w:val="TableContents"/>
              <w:bidi w:val="0"/>
              <w:spacing w:before="0" w:after="283"/>
              <w:jc w:val="left"/>
              <w:rPr/>
            </w:pPr>
            <w:r>
              <w:rPr/>
              <w:t> </w:t>
            </w:r>
          </w:p>
        </w:tc>
      </w:tr>
      <w:tr>
        <w:trPr/>
        <w:tc>
          <w:tcPr>
            <w:tcW w:w="5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3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703" w:type="dxa"/>
            <w:tcBorders/>
            <w:shd w:fill="CCEEFF" w:val="clear"/>
            <w:vAlign w:val="bottom"/>
          </w:tcPr>
          <w:p>
            <w:pPr>
              <w:pStyle w:val="TableContents"/>
              <w:bidi w:val="0"/>
              <w:spacing w:before="0" w:after="283"/>
              <w:jc w:val="right"/>
              <w:rPr/>
            </w:pPr>
            <w:r>
              <w:rPr/>
              <w:t>1,530,435</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right"/>
              <w:rPr/>
            </w:pPr>
            <w:r>
              <w:rPr/>
              <w:t>208,697</w:t>
            </w:r>
          </w:p>
        </w:tc>
        <w:tc>
          <w:tcPr>
            <w:tcW w:w="63" w:type="dxa"/>
            <w:tcBorders/>
            <w:shd w:fill="CCEEFF" w:val="clear"/>
            <w:vAlign w:val="bottom"/>
          </w:tcPr>
          <w:p>
            <w:pPr>
              <w:pStyle w:val="TableContents"/>
              <w:bidi w:val="0"/>
              <w:spacing w:before="0" w:after="283"/>
              <w:jc w:val="left"/>
              <w:rPr/>
            </w:pPr>
            <w:r>
              <w:rPr/>
              <w:t> </w:t>
            </w:r>
          </w:p>
        </w:tc>
      </w:tr>
      <w:tr>
        <w:trPr/>
        <w:tc>
          <w:tcPr>
            <w:tcW w:w="5496"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3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703" w:type="dxa"/>
            <w:tcBorders/>
            <w:vAlign w:val="bottom"/>
          </w:tcPr>
          <w:p>
            <w:pPr>
              <w:pStyle w:val="TableContents"/>
              <w:bidi w:val="0"/>
              <w:spacing w:before="0" w:after="283"/>
              <w:jc w:val="right"/>
              <w:rPr/>
            </w:pPr>
            <w:r>
              <w:rPr/>
              <w:t>1,147,826</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right"/>
              <w:rPr/>
            </w:pPr>
            <w:r>
              <w:rPr/>
              <w:t>156,522</w:t>
            </w:r>
          </w:p>
        </w:tc>
        <w:tc>
          <w:tcPr>
            <w:tcW w:w="63" w:type="dxa"/>
            <w:tcBorders/>
            <w:vAlign w:val="bottom"/>
          </w:tcPr>
          <w:p>
            <w:pPr>
              <w:pStyle w:val="TableContents"/>
              <w:bidi w:val="0"/>
              <w:spacing w:before="0" w:after="283"/>
              <w:jc w:val="left"/>
              <w:rPr/>
            </w:pPr>
            <w:r>
              <w:rPr/>
              <w:t> </w:t>
            </w:r>
          </w:p>
        </w:tc>
      </w:tr>
      <w:tr>
        <w:trPr/>
        <w:tc>
          <w:tcPr>
            <w:tcW w:w="5496"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87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703" w:type="dxa"/>
            <w:tcBorders/>
            <w:shd w:fill="CCEEFF" w:val="clear"/>
            <w:vAlign w:val="bottom"/>
          </w:tcPr>
          <w:p>
            <w:pPr>
              <w:pStyle w:val="TableContents"/>
              <w:bidi w:val="0"/>
              <w:spacing w:before="0" w:after="283"/>
              <w:jc w:val="right"/>
              <w:rPr/>
            </w:pPr>
            <w:r>
              <w:rPr/>
              <w:t>7,652,175</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right"/>
              <w:rPr/>
            </w:pPr>
            <w:r>
              <w:rPr/>
              <w:t>1,043,484</w:t>
            </w:r>
          </w:p>
        </w:tc>
        <w:tc>
          <w:tcPr>
            <w:tcW w:w="63" w:type="dxa"/>
            <w:tcBorders/>
            <w:shd w:fill="CCEEFF" w:val="clear"/>
            <w:vAlign w:val="bottom"/>
          </w:tcPr>
          <w:p>
            <w:pPr>
              <w:pStyle w:val="TableContents"/>
              <w:bidi w:val="0"/>
              <w:spacing w:before="0" w:after="283"/>
              <w:jc w:val="left"/>
              <w:rPr/>
            </w:pPr>
            <w:r>
              <w:rPr/>
              <w:t> </w:t>
            </w:r>
          </w:p>
        </w:tc>
      </w:tr>
      <w:tr>
        <w:trPr/>
        <w:tc>
          <w:tcPr>
            <w:tcW w:w="5496"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7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187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Pricing Disclosure Package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free-writing prospectus dated as of September 15, 2026, substantially in the form set forth in Annex C. </w:t>
      </w:r>
    </w:p>
    <w:p>
      <w:pPr>
        <w:pStyle w:val="TextBody"/>
        <w:bidi w:val="0"/>
        <w:spacing w:before="36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Pricing Information Provided by Underwriters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Public Offering Price Per Share: $17.25 </w:t>
      </w:r>
    </w:p>
    <w:p>
      <w:pPr>
        <w:pStyle w:val="TextBody"/>
        <w:bidi w:val="0"/>
        <w:spacing w:before="240" w:after="0"/>
        <w:jc w:val="left"/>
        <w:rPr>
          <w:rFonts w:ascii="Times New Roman" w:hAnsi="Times New Roman"/>
          <w:sz w:val="20"/>
        </w:rPr>
      </w:pPr>
      <w:r>
        <w:rPr>
          <w:rFonts w:ascii="Times New Roman" w:hAnsi="Times New Roman"/>
          <w:sz w:val="20"/>
        </w:rPr>
        <w:t xml:space="preserve">Number of Underwritten Shares: 7,652,175 </w:t>
      </w:r>
    </w:p>
    <w:p>
      <w:pPr>
        <w:pStyle w:val="TextBody"/>
        <w:bidi w:val="0"/>
        <w:spacing w:before="240" w:after="0"/>
        <w:jc w:val="left"/>
        <w:rPr>
          <w:rFonts w:ascii="Times New Roman" w:hAnsi="Times New Roman"/>
          <w:sz w:val="20"/>
        </w:rPr>
      </w:pPr>
      <w:r>
        <w:rPr>
          <w:rFonts w:ascii="Times New Roman" w:hAnsi="Times New Roman"/>
          <w:sz w:val="20"/>
        </w:rPr>
        <w:t xml:space="preserve">Number of Option Shares: 1,304,348 </w:t>
      </w:r>
    </w:p>
    <w:p>
      <w:pPr>
        <w:pStyle w:val="TextBody"/>
        <w:bidi w:val="0"/>
        <w:spacing w:before="240" w:after="0"/>
        <w:jc w:val="left"/>
        <w:rPr>
          <w:rFonts w:ascii="Times New Roman" w:hAnsi="Times New Roman"/>
          <w:sz w:val="20"/>
        </w:rPr>
      </w:pPr>
      <w:r>
        <w:rPr>
          <w:rFonts w:ascii="Times New Roman" w:hAnsi="Times New Roman"/>
          <w:sz w:val="20"/>
        </w:rPr>
        <w:t xml:space="preserve">Underwriting Discounts and Commissions: $1.035 per Share </w:t>
      </w:r>
    </w:p>
    <w:p>
      <w:pPr>
        <w:pStyle w:val="TextBody"/>
        <w:bidi w:val="0"/>
        <w:spacing w:before="240" w:after="0"/>
        <w:jc w:val="left"/>
        <w:rPr>
          <w:rFonts w:ascii="Times New Roman" w:hAnsi="Times New Roman"/>
          <w:sz w:val="20"/>
        </w:rPr>
      </w:pPr>
      <w:r>
        <w:rPr>
          <w:rFonts w:ascii="Times New Roman" w:hAnsi="Times New Roman"/>
          <w:sz w:val="20"/>
        </w:rPr>
        <w:t xml:space="preserve">Public Offering Price Per Warrant: $17.2499 </w:t>
      </w:r>
    </w:p>
    <w:p>
      <w:pPr>
        <w:pStyle w:val="TextBody"/>
        <w:bidi w:val="0"/>
        <w:spacing w:before="240" w:after="0"/>
        <w:jc w:val="left"/>
        <w:rPr>
          <w:rFonts w:ascii="Times New Roman" w:hAnsi="Times New Roman"/>
          <w:sz w:val="20"/>
        </w:rPr>
      </w:pPr>
      <w:r>
        <w:rPr>
          <w:rFonts w:ascii="Times New Roman" w:hAnsi="Times New Roman"/>
          <w:sz w:val="20"/>
        </w:rPr>
        <w:t xml:space="preserve">Number of Warrants: 1,043,484 </w:t>
      </w:r>
    </w:p>
    <w:p>
      <w:pPr>
        <w:pStyle w:val="TextBody"/>
        <w:bidi w:val="0"/>
        <w:spacing w:before="240" w:after="0"/>
        <w:jc w:val="left"/>
        <w:rPr>
          <w:rFonts w:ascii="Times New Roman" w:hAnsi="Times New Roman"/>
          <w:sz w:val="20"/>
        </w:rPr>
      </w:pPr>
      <w:r>
        <w:rPr>
          <w:rFonts w:ascii="Times New Roman" w:hAnsi="Times New Roman"/>
          <w:sz w:val="20"/>
        </w:rPr>
        <w:t xml:space="preserve">Underwriting Discounts and Commissions: $1.035 per Warrant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C </w:t>
      </w:r>
    </w:p>
    <w:p>
      <w:pPr>
        <w:pStyle w:val="TextBody"/>
        <w:bidi w:val="0"/>
        <w:spacing w:before="240" w:after="0"/>
        <w:jc w:val="center"/>
        <w:rPr>
          <w:rFonts w:ascii="Times New Roman" w:hAnsi="Times New Roman"/>
          <w:sz w:val="20"/>
        </w:rPr>
      </w:pPr>
      <w:r>
        <w:rPr>
          <w:rFonts w:ascii="Times New Roman" w:hAnsi="Times New Roman"/>
          <w:sz w:val="20"/>
        </w:rPr>
        <w:t xml:space="preserve">Form of Free-Writing Prospectus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Dated September 15, 2026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September 15,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333-293702 </w:t>
      </w:r>
    </w:p>
    <w:p>
      <w:pPr>
        <w:pStyle w:val="TextBody"/>
        <w:bidi w:val="0"/>
        <w:spacing w:before="0" w:after="0"/>
        <w:jc w:val="left"/>
        <w:rPr/>
      </w:pPr>
      <w:r>
        <w:rPr/>
        <w:t> </w:t>
      </w:r>
    </w:p>
    <w:p>
      <w:pPr>
        <w:pStyle w:val="TextBody"/>
        <w:bidi w:val="0"/>
        <w:spacing w:before="0" w:after="0"/>
        <w:jc w:val="center"/>
        <w:rPr/>
      </w:pPr>
      <w:r>
        <w:rPr/>
        <w:drawing>
          <wp:inline distT="0" distB="0" distL="0" distR="0">
            <wp:extent cx="22955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5525"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Pre-Funded Warrants to Purchase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relates only to the public offering of shares of common stock and pre-funded warrants to purchase shares of common stock of Beta Bionics, Inc. and should be read together with the preliminary prospectus supplement, dated September 15, 2026 (the Preliminary Prospectus Supplement), and the accompanying prospectus, in each case, including the documents incorporated by reference therein. The information in this free writing prospectus updates and, to the extent inconsistent, supersedes the information in the Preliminary Prospectus Supplement. This free writing prospectus supplements the Preliminary Prospectus Supplement to reflect the addition of pre-funded warrants, and the shares of common stock issuable upon the exercise of such pre-funded warrants, to the securities being offered by Beta Bionics, Inc. Except as otherwise indicated, all information in this free writing prospectus and the Preliminary Prospectus Supplement assumes no exercise by the underwriters of their option to purchase additional shares of common stock and the full exercise of all pre-funded warrants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is qualified in its entirety by reference to the Preliminary Prospectus Supplement and the accompanying prospectus, in each case, including the documents incorporated by reference therein. Financial information and other information presented in the Preliminary Prospectus Supplement or incorporated by reference therein is deemed to have changed to the extent affected by the changes described herein. This free writing prospectus should be read together with the Preliminary Prospectus Supplement and the accompanying prospectus, in each case, including the documents incorporated by reference therein, before making a decision in connection with an investment in the securities. Capitalized terms used in this free writing prospectus but not defined have the meanings given to them in the Preliminary Prospectus Supplement.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19"/>
        <w:gridCol w:w="120"/>
        <w:gridCol w:w="7166"/>
      </w:tblGrid>
      <w:tr>
        <w:trPr/>
        <w:tc>
          <w:tcPr>
            <w:tcW w:w="29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66" w:type="dxa"/>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283"/>
              <w:jc w:val="left"/>
              <w:rPr>
                <w:b/>
              </w:rPr>
            </w:pPr>
            <w:r>
              <w:rPr>
                <w:b/>
              </w:rPr>
              <w:t>Common stock to be offered by us</w:t>
            </w:r>
          </w:p>
        </w:tc>
        <w:tc>
          <w:tcPr>
            <w:tcW w:w="120"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     </w:t>
            </w:r>
            <w:r>
              <w:rPr/>
              <w:t>shares.</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283"/>
              <w:jc w:val="left"/>
              <w:rPr>
                <w:b/>
              </w:rPr>
            </w:pPr>
            <w:r>
              <w:rPr>
                <w:b/>
              </w:rPr>
              <w:t>Pre-funded warrants offered by us</w:t>
            </w:r>
          </w:p>
        </w:tc>
        <w:tc>
          <w:tcPr>
            <w:tcW w:w="120"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We are also offering, in lieu of shares of common stock to certain investors that so choose, pre-funded warrants to purchase shares of common stock. Each pre-funded warrant will have an initial exercise price per share of $0.0001, subject to certain adjustments. The purchase price of each pre-funded warrant is equal to the price at which the share of common stock is being sold to the public in this offering, minus $0.0001. The pre-funded warrants are exercisable immediately and may be exercised at any time until all of the pre-funded warrants are exercised in full. For more information, see the section titled “Description of securities we are offering—Pre-funded warrants.” This free writing prospectus and the Preliminary Prospectus Supplement also relate to the offering of the shares of common stock issuable upon the exercise of such pre-funded warrants.</w:t>
            </w:r>
          </w:p>
        </w:tc>
      </w:tr>
      <w:tr>
        <w:trPr>
          <w:trHeight w:val="120" w:hRule="atLeast"/>
        </w:trPr>
        <w:tc>
          <w:tcPr>
            <w:tcW w:w="2919" w:type="dxa"/>
            <w:tcBorders/>
            <w:vAlign w:val="center"/>
          </w:tcPr>
          <w:p>
            <w:pPr>
              <w:pStyle w:val="TableContents"/>
              <w:bidi w:val="0"/>
              <w:spacing w:before="0" w:after="283"/>
              <w:jc w:val="left"/>
              <w:rPr>
                <w:sz w:val="4"/>
                <w:szCs w:val="4"/>
              </w:rPr>
            </w:pPr>
            <w:r>
              <w:rPr>
                <w:sz w:val="4"/>
                <w:szCs w:val="4"/>
              </w:rPr>
            </w:r>
          </w:p>
        </w:tc>
        <w:tc>
          <w:tcPr>
            <w:tcW w:w="728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tcPr>
          <w:p>
            <w:pPr>
              <w:pStyle w:val="TableContents"/>
              <w:bidi w:val="0"/>
              <w:spacing w:before="0" w:after="283"/>
              <w:jc w:val="left"/>
              <w:rPr>
                <w:b/>
              </w:rPr>
            </w:pPr>
            <w:r>
              <w:rPr>
                <w:b/>
              </w:rPr>
              <w:t>Nasdaq Global Market symbol</w:t>
            </w:r>
          </w:p>
        </w:tc>
        <w:tc>
          <w:tcPr>
            <w:tcW w:w="120" w:type="dxa"/>
            <w:tcBorders/>
            <w:vAlign w:val="bottom"/>
          </w:tcPr>
          <w:p>
            <w:pPr>
              <w:pStyle w:val="TableContents"/>
              <w:bidi w:val="0"/>
              <w:spacing w:before="0" w:after="283"/>
              <w:jc w:val="left"/>
              <w:rPr/>
            </w:pPr>
            <w:r>
              <w:rPr/>
              <w:t>  </w:t>
            </w:r>
          </w:p>
        </w:tc>
        <w:tc>
          <w:tcPr>
            <w:tcW w:w="7166" w:type="dxa"/>
            <w:tcBorders/>
          </w:tcPr>
          <w:p>
            <w:pPr>
              <w:pStyle w:val="TableContents"/>
              <w:bidi w:val="0"/>
              <w:spacing w:before="0" w:after="283"/>
              <w:jc w:val="left"/>
              <w:rPr/>
            </w:pPr>
            <w:r>
              <w:rPr/>
              <w:t>Our common stock is listed on The Nasdaq Global Market under the symbol “BBNX.” There is no established public trading market for the pre-funded warrants and we do not expect a market to develop. In addition, we do not intend to apply for listing of the pre-funded warrants on any securities exchange or recognized trading system. See the section titled “Description of securities we are offering—Pre-funded warrants.”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There is no public market for the pre-funded warrants being offered by us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any meaningful amount of additional funds upon the exercise of the pre-funded warrants; however, any exercise would increase the number of shares of our common stock eligible for future resale in the public market and result in dilution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 To the extent such pre-funded warrants are exercised, additional shares of common stock will be issued for nominal or no additional consideration, which will result in dilution to the then existing holders of our common stock and will increase the number of shares eligible for resale in the public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owners of our common stock may not be permitted to exercise the pre-funded warrants that they hold for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pre-funded warrants will not be entitled to exercise any portion of such pre-funded warrants for common stock if, upon giving effect to such exercise, the holder would beneficially own an aggregate number of shares of our common stock (together with its attribution affiliates) that exceeds 4.99% (or 9.99%) at the initial election of the holder) of the number of shares of our common stock that would be outstanding immediately after giving effect to the exercise, as such percentage ownership is set forth in accordance with the terms of the pre-funded warrants. A holder of pre-funded warrants may elect to increase the maximum ownership percentage under the pre-funded warrants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maintain a current and effective registration statement relating to the shares of common stock issuable upon exercise of the pre-funded warrants, holders will only be able to exercise such pre-funded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common stock that holders will receive upon exercise of the pre-funded warrants will be fewer than it would have been had such holder exercised his, her or its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Holders of the pre-funded warrants will have no rights as common stockholders until they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Description of securities we are offering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shares of our common stock, or for certain investors that so choose, in lieu of shares of common stock, pre-funded warrants to purchase shares of our common stock. The common stock and the pre-funded warrants will be sold at the same time. The shares of common stock and the pre-funded warrants are immediately separable and will be issued separately. The shares of common stock issuable from time to time upon exercise of the pre-funded warrants, if any, are also being offered pursuant to the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entitled to one vote for each share held of record on all matters submitted to a vote of the stockholders, including the election of directors, and does not have cumulative voting rights. Accordingly, the holders of a majority of the shares of our common stock entitled to vote in any election of directors can elect all of the directors standing for election.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the holders of common stock are entitled to receive dividends, if any, as may be declared from time to time by our board of directors out of legally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i/>
          <w:sz w:val="20"/>
        </w:rPr>
      </w:pPr>
      <w:r>
        <w:rPr>
          <w:rFonts w:ascii="Times New Roman" w:hAnsi="Times New Roman"/>
          <w:i/>
          <w:sz w:val="20"/>
        </w:rPr>
        <w:t xml:space="preserve">The material terms and provisions of the pre-funded warrants being issued in this offering are summarized below. The following description is subject to, and qualified in its entirety by, the form of pre-funded warrant which will be filed as an exhibit to a Current Report on Form 8-K to be filed by us with the U.S. Securities and Exchange Commission (the SEC), in connection with this offering. You should review the form of pre-funded warrant for a complete description of the terms and conditions applicable to the pre-funded warrants. </w:t>
      </w:r>
    </w:p>
    <w:p>
      <w:pPr>
        <w:pStyle w:val="TextBody"/>
        <w:bidi w:val="0"/>
        <w:spacing w:before="240" w:after="0"/>
        <w:jc w:val="left"/>
        <w:rPr>
          <w:rFonts w:ascii="Times New Roman" w:hAnsi="Times New Roman"/>
          <w:sz w:val="20"/>
        </w:rPr>
      </w:pPr>
      <w:r>
        <w:rPr>
          <w:rFonts w:ascii="Times New Roman" w:hAnsi="Times New Roman"/>
          <w:i/>
          <w:sz w:val="20"/>
        </w:rPr>
        <w:t>Exercisability</w:t>
      </w:r>
      <w:r>
        <w:rPr>
          <w:rFonts w:ascii="Times New Roman" w:hAnsi="Times New Roman"/>
          <w:sz w:val="20"/>
        </w:rPr>
        <w:t xml:space="preserve">. The pre-funded warrants will be immediately exercisable, at the option of each holder, in whole or in part by delivering to us a duly executed exercise notice and by payment in full in immediately available funds for the number of shares of common stock purchased upon such exercise. The holder may also exercise the pre-funded warrant through a “cashless exercise,” in which case, the holder would receive upon such exercise, the net number of shares of common stock determined according to the formula set forth in the pre-funded warrant. The exercise price must be paid by the holder in cash in immediately available funds. </w:t>
      </w:r>
    </w:p>
    <w:p>
      <w:pPr>
        <w:pStyle w:val="TextBody"/>
        <w:bidi w:val="0"/>
        <w:spacing w:before="240" w:after="0"/>
        <w:jc w:val="left"/>
        <w:rPr>
          <w:rFonts w:ascii="Times New Roman" w:hAnsi="Times New Roman"/>
          <w:sz w:val="20"/>
        </w:rPr>
      </w:pPr>
      <w:r>
        <w:rPr>
          <w:rFonts w:ascii="Times New Roman" w:hAnsi="Times New Roman"/>
          <w:i/>
          <w:sz w:val="20"/>
        </w:rPr>
        <w:t>Exercise limitations</w:t>
      </w:r>
      <w:r>
        <w:rPr>
          <w:rFonts w:ascii="Times New Roman" w:hAnsi="Times New Roman"/>
          <w:sz w:val="20"/>
        </w:rPr>
        <w:t xml:space="preserve">. A holder (together with its affiliates and other attribution parties) may not exercise any portion of a pre-funded warrant to the extent that immediately prior to or after giving effect to such exercise the holder would own more than 4.99% (or 9.99%) of our outstanding common stock immediately after exercise, which percentage may be changed at the holder’s election to a higher or lower percentage not in excess of 19.99% (if exceeding such percentage would result in a change of control under Nasdaq Listing Rule 5635(b) or any successor rule), provided that any such increase will require the holder to provide us with at least 61 days’ advance notice. </w:t>
      </w:r>
    </w:p>
    <w:p>
      <w:pPr>
        <w:pStyle w:val="TextBody"/>
        <w:bidi w:val="0"/>
        <w:spacing w:before="240" w:after="0"/>
        <w:jc w:val="left"/>
        <w:rPr>
          <w:rFonts w:ascii="Times New Roman" w:hAnsi="Times New Roman"/>
          <w:sz w:val="20"/>
        </w:rPr>
      </w:pPr>
      <w:r>
        <w:rPr>
          <w:rFonts w:ascii="Times New Roman" w:hAnsi="Times New Roman"/>
          <w:i/>
          <w:sz w:val="20"/>
        </w:rPr>
        <w:t>Exercise price and term</w:t>
      </w:r>
      <w:r>
        <w:rPr>
          <w:rFonts w:ascii="Times New Roman" w:hAnsi="Times New Roman"/>
          <w:sz w:val="20"/>
        </w:rPr>
        <w:t xml:space="preserve">. Each pre-funded warrant offered hereby has an initial exercise price per share equal to $0.0001. The pre-funded warrants are immediately exercisable, may be exercised at any time and will not expire until exercised in full. The exercise price and number of shares of common stock issuable upon exercise is subject to adjustment in the event of stock dividends and distributions, stock splits, stock combinations, reclassifications or similar events affecting our common stock.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Subject to compliance with any applicable securities laws, the pre-funded warrants are separately tradeable immediately after issuance at the option of the holders and may be transferred at the option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No listing</w:t>
      </w:r>
      <w:r>
        <w:rPr>
          <w:rFonts w:ascii="Times New Roman" w:hAnsi="Times New Roman"/>
          <w:sz w:val="20"/>
        </w:rPr>
        <w:t xml:space="preserve">. There is no established public trading market for the pre-funded warrants and we do not expect a market to develop. In addition, we do not intend to apply for listing of the pre-funded warrants on any securities exchange or recognized trading system, including The Nasdaq Global Market. Without an active market, the liquidity of the pre-funded warrants will be limited. </w:t>
      </w:r>
    </w:p>
    <w:p>
      <w:pPr>
        <w:pStyle w:val="TextBody"/>
        <w:bidi w:val="0"/>
        <w:spacing w:before="240" w:after="0"/>
        <w:jc w:val="left"/>
        <w:rPr>
          <w:rFonts w:ascii="Times New Roman" w:hAnsi="Times New Roman"/>
          <w:sz w:val="20"/>
        </w:rPr>
      </w:pPr>
      <w:r>
        <w:rPr>
          <w:rFonts w:ascii="Times New Roman" w:hAnsi="Times New Roman"/>
          <w:i/>
          <w:sz w:val="20"/>
        </w:rPr>
        <w:t>Fundamental transactions</w:t>
      </w:r>
      <w:r>
        <w:rPr>
          <w:rFonts w:ascii="Times New Roman" w:hAnsi="Times New Roman"/>
          <w:sz w:val="20"/>
        </w:rPr>
        <w:t xml:space="preserve">. 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pre-funded warrants will be deemed to be fully exercised as of immediately prior to the consummation of such transaction, and the holders thereof will be entitled to receive the kind and amount of securities, cash or other property as holders of common stock in such fundamental transaction. </w:t>
      </w:r>
    </w:p>
    <w:p>
      <w:pPr>
        <w:pStyle w:val="TextBody"/>
        <w:bidi w:val="0"/>
        <w:spacing w:before="240" w:after="0"/>
        <w:jc w:val="left"/>
        <w:rPr>
          <w:rFonts w:ascii="Times New Roman" w:hAnsi="Times New Roman"/>
          <w:sz w:val="20"/>
        </w:rPr>
      </w:pPr>
      <w:r>
        <w:rPr>
          <w:rFonts w:ascii="Times New Roman" w:hAnsi="Times New Roman"/>
          <w:i/>
          <w:sz w:val="20"/>
        </w:rPr>
        <w:t>Rights as a stockholder</w:t>
      </w:r>
      <w:r>
        <w:rPr>
          <w:rFonts w:ascii="Times New Roman" w:hAnsi="Times New Roman"/>
          <w:sz w:val="20"/>
        </w:rPr>
        <w:t xml:space="preserve">. Except as otherwise provided in the pre-funded warrants or by virtue of a holder’s ownership of shares of our common stock, the holders of the pre-funded warrants do not have the rights or privileges of holders of our common stock, including the right to vote, until they exercise their pre-funded warrants. </w:t>
      </w:r>
    </w:p>
    <w:p>
      <w:pPr>
        <w:pStyle w:val="TextBody"/>
        <w:bidi w:val="0"/>
        <w:spacing w:before="240" w:after="0"/>
        <w:jc w:val="left"/>
        <w:rPr>
          <w:rFonts w:ascii="Times New Roman" w:hAnsi="Times New Roman"/>
          <w:sz w:val="20"/>
        </w:rPr>
      </w:pPr>
      <w:r>
        <w:rPr>
          <w:rFonts w:ascii="Times New Roman" w:hAnsi="Times New Roman"/>
          <w:i/>
          <w:sz w:val="20"/>
        </w:rPr>
        <w:t>Warrant agent</w:t>
      </w:r>
      <w:r>
        <w:rPr>
          <w:rFonts w:ascii="Times New Roman" w:hAnsi="Times New Roman"/>
          <w:sz w:val="20"/>
        </w:rPr>
        <w:t xml:space="preserve">. We will act as warrant agent for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will purchase the pre-funded warrants pursuant to the underwriting agreement described in the Preliminary Prospectus Supplement on terms generally consistent with those applicable to the shares of common stock being sold in the offering. The per share underwriting discounts and commissions for the pre-funded warrants will be equal to the per share underwriting discounts and commissions on the shares of our common stock sold in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Material U.S. federal income tax consequences of our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of the ownership and disposition of our common stock and pre-funded warrants offered pursuant to the Preliminary Prospectus Supplement and this free writing prospectus. This discussion is not a complete analysis of all potential U.S. federal income tax consequences relating thereto, does not address the potential application of the Medicare contribution tax on net investment income, any alternative minimum tax, or the special tax accounting rules under Section 451(b) of the Internal Revenue Code of 1986, as amended (the Code), and does not address any U.S. federal non-income tax consequences such as estate or gift tax consequences or any tax consequences arising under any state, local, or non-U.S. tax laws. This discussion is based on the Code and applicable Treasury Regulations promulgated thereunder, published rulings and administrative pronouncements of the Internal Revenue Service (the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who purchase our common stock or pre-funded warrants offered by the Preliminary Prospectus Supplement and this free writing prospectus and who hold our common stock or pre-funded warrants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S corporations or other pass-through entities, or disregarded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controlled foreign corporations” or “foreign 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investment funds, insurance companies, brokers or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our common stock through the exercise of employee stock options or otherwise as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common stock or pre-funded warrants that constitute “qualified small business stock” under Section 1202 of the Code, or “Section 1244 stock” under Section 1244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common stock or pre-funded warrants in a transaction subject to the gain rollover provisions of the Code (including Section 1045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or pre-funded warrants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common stock and/or our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persons whose “functional currency” is not the United States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or pre-funded warrants as part of a hedging or conversion transaction or straddle, or a constructive sale, or other risk reduction strategy or integrated investment.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common stock or pre-funded warrants, the U.S. federal income tax treatment of a partner in the partnership will generally depend on the status of the partner, the activities of the partnership and certain determinations made at the partner level. Partnerships holding our common stock or pre-funded warrants and the partners in such partnerships are urged to consult their tax advisors about the particular U.S. federal income tax consequences to them of acquiring, owning and disposing of our common stock or pre-funded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PROSPECTIVE INVESTORS SHOULD CONSULT THEIR TAX ADVISORS REGARDING THE PARTICULAR U.S. FEDERAL INCOME TAX CONSEQUENCES TO THEM OF ACQUIRING, OWNING, AND DISPOSING OF OUR COMMON STOCK OR PRE-FUNDED WARRANTS, AS WELL AS ANY TAX CONSEQUENCES ARISING UNDER ANY STATE, LOCAL, OR NON-U.S. TAX LAWS AND ANY U.S. FEDERAL NON-INCOME TAX LAWS, OR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our common stock or pre-funded warrants that is a “U.S. person” (as defined below) and is not a partnership (including any entity or arrangement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whose administration is subject to the primary supervision of a U.S. court and which has one or more United States persons (within the meaning of Code Section 7701(a)(30)) who have the authority to control all substantial decisions of the trust or (2) that has a valid election in effect under applicable Treasury Regulations to be treated as a United States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discussion, a “non-U.S. holder” is a beneficial owner of our common stock or pre-funded warrants that is neither a U.S. person nor a partnership (including any entity or arrangement treated as a partnership)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Characterization of the pre-funded warrants for tax purposes </w:t>
      </w:r>
    </w:p>
    <w:p>
      <w:pPr>
        <w:pStyle w:val="TextBody"/>
        <w:bidi w:val="0"/>
        <w:spacing w:before="120" w:after="0"/>
        <w:jc w:val="left"/>
        <w:rPr>
          <w:rFonts w:ascii="Times New Roman" w:hAnsi="Times New Roman"/>
          <w:sz w:val="20"/>
        </w:rPr>
      </w:pPr>
      <w:r>
        <w:rPr>
          <w:rFonts w:ascii="Times New Roman" w:hAnsi="Times New Roman"/>
          <w:sz w:val="20"/>
        </w:rPr>
        <w:t xml:space="preserve">Although the characterization of the pre-funded warrants for U.S. federal income tax purposes is not entirely clear, because the exercise price of the pre-funded warrants is a nominal amount, we expect to treat the pre-funded warrants as stock for U.S. federal income tax purposes. Accordingly, no gain or loss generally should be recognized upon the exercise of a pre-funded warrant (other than with respect to any cash paid in lieu of a fractional share) and, upon exercise, the holding period of a pre-funded warrant generally should carry over to the share received. Similarly, the tax basis of the pre-funded warrant generally should carry over to the share received upon exercise, increased by the exercise price. Except where specifically noted below, the following discussion assumes our pre-funded warrants are treated as our stock. Some portions of the below discussion make reference to potential consequences associated with the acquisition, ownership and disposition of the pre-funded warrants independent of their potential characterization as stock. </w:t>
      </w:r>
    </w:p>
    <w:p>
      <w:pPr>
        <w:pStyle w:val="TextBody"/>
        <w:bidi w:val="0"/>
        <w:spacing w:before="240" w:after="0"/>
        <w:jc w:val="left"/>
        <w:rPr>
          <w:rFonts w:ascii="Times New Roman" w:hAnsi="Times New Roman"/>
          <w:sz w:val="20"/>
        </w:rPr>
      </w:pPr>
      <w:r>
        <w:rPr>
          <w:rFonts w:ascii="Times New Roman" w:hAnsi="Times New Roman"/>
          <w:sz w:val="20"/>
        </w:rPr>
        <w:t xml:space="preserve">Our position with respect to the U.S. federal income tax characterization of pre-funded warrants is not binding on the IRS and the IRS may treat the pre-funded warrants as warrants to acquire our common stock for U.S. federal income tax purposes and, if so, the amount and character of your gain with respect to an investment in our pre-funded warrants could differ from what is described herein. You should consult your tax advisor regarding the characterization of pre-funded warrants for U.S. federal income tax purposes, and the consequences to you of an investment in the pre-funded warrants based on your own particular facts and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U.S. holders </w:t>
      </w:r>
    </w:p>
    <w:p>
      <w:pPr>
        <w:pStyle w:val="TextBody"/>
        <w:bidi w:val="0"/>
        <w:spacing w:before="120" w:after="0"/>
        <w:jc w:val="left"/>
        <w:rPr>
          <w:rFonts w:ascii="Times New Roman" w:hAnsi="Times New Roman"/>
          <w:b/>
          <w:sz w:val="20"/>
        </w:rPr>
      </w:pPr>
      <w:r>
        <w:rPr>
          <w:rFonts w:ascii="Times New Roman" w:hAnsi="Times New Roman"/>
          <w:b/>
          <w:sz w:val="20"/>
        </w:rPr>
        <w:t xml:space="preserve">Distributions on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and we do not currently intend to pay any cash dividends on our capital stock in the foreseeable future. However, if we make cash or other property distributions on our common stock or pre-funded warrants, such distributions will constitute dividends for U.S. federal income tax purposes to the extent paid from our current or accumulated earnings and profits, as determined under U.S. federal income tax principles. Dividends received by certain non-corporate U.S. holders, including individuals, are generally taxed at long-term capital gains rates, provided certain holding period requirements are satisfied. Dividends received by a corporate U.S. holder may be eligible for a dividends received deduction, subject to applicable limitations. </w:t>
      </w:r>
    </w:p>
    <w:p>
      <w:pPr>
        <w:pStyle w:val="TextBody"/>
        <w:bidi w:val="0"/>
        <w:spacing w:before="240" w:after="0"/>
        <w:jc w:val="left"/>
        <w:rPr>
          <w:rFonts w:ascii="Times New Roman" w:hAnsi="Times New Roman"/>
          <w:sz w:val="20"/>
        </w:rPr>
      </w:pPr>
      <w:r>
        <w:rPr>
          <w:rFonts w:ascii="Times New Roman" w:hAnsi="Times New Roman"/>
          <w:sz w:val="20"/>
        </w:rPr>
        <w:t xml:space="preserve">Amounts that exceed such current and accumulated earnings and profits and, therefore, are not treated as dividends for U.S. federal income tax purposes will constitute a return of capital and will first be applied against and reduce a holder’s tax basis in our common stock or pre-funded warrants, but not below zero. Any amount distributed in excess of basis will be treated as gain realized on the sale or other disposition of our common stock or pre-funded warrants and will be treated as described under the section titled “—Sale or other disposition of our common stock or pre-funded warrants” below. </w:t>
      </w:r>
    </w:p>
    <w:p>
      <w:pPr>
        <w:pStyle w:val="TextBody"/>
        <w:bidi w:val="0"/>
        <w:spacing w:before="360" w:after="0"/>
        <w:jc w:val="left"/>
        <w:rPr>
          <w:rFonts w:ascii="Times New Roman" w:hAnsi="Times New Roman"/>
          <w:b/>
          <w:sz w:val="20"/>
        </w:rPr>
      </w:pPr>
      <w:r>
        <w:rPr>
          <w:rFonts w:ascii="Times New Roman" w:hAnsi="Times New Roman"/>
          <w:b/>
          <w:sz w:val="20"/>
        </w:rPr>
        <w:t xml:space="preserve">Constructive dividends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a pre-funded warrant may, in some circumstances, be deemed to have received a distribution subject to U.S. federal income tax as a result of an adjustment or the non-occurrence of an adjustment to the exercise price or number of shares of our common stock issuable upon exercise of the pre-funded warrant. U.S. holders should consult their tax advisors regarding the proper treatment of any adjustments (or the non-occurrence of any adjustments) to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Sale or other disposition of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gain or loss realized on the sale or other taxable disposition of our common stock or pre-funded warrants will generally be capital gain or loss, and will be long-term capital gain or loss if the U.S. holder has held the common stock or pre-funded warrants for more than one year. The amount of the gain or loss will equal the difference between (i) the amount of cash and the fair market value of any property received on the disposition and (ii) such U.S. holder’s tax basis in the common stock or pre-funded warrants disposed of. Long-term capital gains recognized by non-corporate U.S. holders generally will be subject to reduced U.S. federal income tax rates. The deductibility of capital losses is subject to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distributions (including deemed distributions) on our common stock or pre-funded warrants, and gross proceeds on the sale or other disposition of our common stock and pre-funded warrants, unless the U.S. holder is an exempt recipient (such as certain corporations). Backup withholding (currently at a 24% rate) will apply to those payments if the U.S. holder is not otherwise exempt and fails to provide its correct taxpayer identification number or certification of exempt status on an IRS Form W-9 (Request for Taxpayer Identification Number and Certification), or if the U.S. holder is notified by the IRS that it has failed to report in full payments of interest and dividend income. Backup withholding is not an additional tax. Any amounts withheld under the backup withholding rules will be allowed as a refund or a credit against a U.S. holder’s U.S. federal income tax liability provided the required information is furnished timely to the IRS. </w:t>
      </w:r>
    </w:p>
    <w:p>
      <w:pPr>
        <w:pStyle w:val="TextBody"/>
        <w:bidi w:val="0"/>
        <w:spacing w:before="240" w:after="0"/>
        <w:jc w:val="left"/>
        <w:rPr>
          <w:rFonts w:ascii="Times New Roman" w:hAnsi="Times New Roman"/>
          <w:sz w:val="20"/>
        </w:rPr>
      </w:pPr>
      <w:r>
        <w:rPr>
          <w:rFonts w:ascii="Times New Roman" w:hAnsi="Times New Roman"/>
          <w:sz w:val="20"/>
        </w:rPr>
        <w:t xml:space="preserve">If backup withholding is applied to you, you should consult with your own tax advisor to determine whether you have overpaid your U.S. federal income tax, and whether you are able to obtain a tax refund or credit of the overpaid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non-U.S. holders </w:t>
      </w:r>
    </w:p>
    <w:p>
      <w:pPr>
        <w:pStyle w:val="TextBody"/>
        <w:bidi w:val="0"/>
        <w:spacing w:before="120" w:after="0"/>
        <w:jc w:val="left"/>
        <w:rPr>
          <w:rFonts w:ascii="Times New Roman" w:hAnsi="Times New Roman"/>
          <w:b/>
          <w:sz w:val="20"/>
        </w:rPr>
      </w:pPr>
      <w:r>
        <w:rPr>
          <w:rFonts w:ascii="Times New Roman" w:hAnsi="Times New Roman"/>
          <w:b/>
          <w:sz w:val="20"/>
        </w:rPr>
        <w:t xml:space="preserve">Distributions on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under “—Tax consequences to U.S. holders—Distributions on our common stock or pre-funded warrants,” we have never declared or paid cash dividends on our capital stock, and we do not currently intend to pay any cash dividends on our capital stock in the foreseeable future. However, if we make cash or other property distributions on our common stock or pre-funded warrants, such distributions will constitute dividends for U.S. federal income tax purposes to the extent paid from our current or accumulated earnings and profits, as determined under U.S. federal income tax principles. </w:t>
      </w:r>
    </w:p>
    <w:p>
      <w:pPr>
        <w:pStyle w:val="TextBody"/>
        <w:bidi w:val="0"/>
        <w:spacing w:before="240" w:after="0"/>
        <w:jc w:val="left"/>
        <w:rPr>
          <w:rFonts w:ascii="Times New Roman" w:hAnsi="Times New Roman"/>
          <w:sz w:val="20"/>
        </w:rPr>
      </w:pPr>
      <w:r>
        <w:rPr>
          <w:rFonts w:ascii="Times New Roman" w:hAnsi="Times New Roman"/>
          <w:sz w:val="20"/>
        </w:rPr>
        <w:t xml:space="preserve">Amounts not treated as dividends for U.S. federal income tax purposes will constitute a return of capital and first be applied against and reduce a non-U.S. holder’s adjusted tax basis in our common stock or pre-funded warrants, but not below zero. Any excess will be treated as capital gain and will be treated as described below under “—Gain on disposition of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regarding effectively connected income, backup withholding, and Sections 1471 through 1474 of the Code (FATCA), dividends paid to a non-U.S. holder of our common stock or pre-funded warrants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with a valid IRS Form W-8BEN or IRS Form W-8BEN-E, as applicable (or other appropriate form, or applicable successor form), certifying such holder’s qualification for the reduced rate. This certification must be provided to us or the applicable withholding agent before the payment of dividends and may need to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holding an interest in the entity. If the non-U.S. holder holds the common stock or pre-funded warrants through a financial institution or other agent acting on the non-U.S. holder’s behalf, the non-U.S. holder will be required to provide appropriate documentation to the agent, which then will be required to provide certification to us or the applicable withholding agent, either directly or through other intermediaries. Non-U.S. holders that do not provide the required certification on a timely basis, but that qualify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common stock or pre-funded warrants in connection with the conduct of a trade or business in the United States, and dividends paid on our common stock or pre-funded warrants are effectively connected with such holder’s U.S. trade or business (and, if required by an applicable tax treaty, are attributable to such holder’s permanent establishment or fixed base in the United States), the non-U.S. holder will generally be exempt from U.S. federal withholding tax. To claim the exemption, the non-U.S. holder must generally furnish a valid IRS Form W-8ECI (or applicable successor form) to the applicable withholding agent. This certification must be provided to us or the applicable withholding agent before the payment of dividends and may need to be updated periodically. </w:t>
      </w:r>
    </w:p>
    <w:p>
      <w:pPr>
        <w:pStyle w:val="TextBody"/>
        <w:bidi w:val="0"/>
        <w:spacing w:before="240" w:after="0"/>
        <w:jc w:val="left"/>
        <w:rPr>
          <w:rFonts w:ascii="Times New Roman" w:hAnsi="Times New Roman"/>
          <w:sz w:val="20"/>
        </w:rPr>
      </w:pPr>
      <w:r>
        <w:rPr>
          <w:rFonts w:ascii="Times New Roman" w:hAnsi="Times New Roman"/>
          <w:sz w:val="20"/>
        </w:rPr>
        <w:t xml:space="preserve">Although not subject to withholding tax, any such effectively connected dividends paid on our common stock or pre-funded warrants generally will be subject to U.S. federal income tax as if such holder were a resident of the United States at the regular U.S. federal income tax rates applicable to United States residents.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Constructive dividends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of pre-funded warrants may, in some circumstances, be deemed to have received a distribution subject to U.S. federal income tax as a result of an adjustment or the non-occurrence of an adjustment to the exercise price or number of shares of our common stock issuable upon exercise of the pre-funded warrant. Any resulting withholding tax attributable to deemed dividends may be collected from other amounts payable or distributable to the non-U.S. holder. Non-U.S. holders should consult their tax advisors regarding the proper treatment of any adjustments (or the non-occurrence of any adjustments) to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backup withholding and FATCA, a non-U.S. holder generally will not be subject to U.S. federal income tax on any gain realized on the sale or other taxable disposition of our common stock or pre-funded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or pre-funded warrants constitute a “United States real property interest” (USRPI) by reason of our status as a United States real property holding corporation (USRPHC) for U.S. federal income tax purposes at any time within the shorter of the five-year period preceding the disposition or the non-U.S. holder’s holding period for our common stock or pre-funded warrants, and our common stock is not regularly traded on an established securities market as defined by applicable Treasury Regulations (although holders of pre-funded warrants are urged to consult their own tax advisors regarding application of the “regularly traded” exception from USRPI status if we are a USRPHC).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Determining whether we are a USRPHC depends on the fair market value of our USRPIs relative to the fair market value of our other trade or business assets and our foreign real property interests. We do not believe that we are, or have been, and do not anticipate becoming a USRPHC for U.S. federal income tax purposes, although there can be no assurance we will not in the future become a USRPHC. </w:t>
      </w:r>
    </w:p>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as if such holder were a resident of the United States at the regular U.S. federal income tax rates applicable to United States residents.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A non-U.S. holder described in the second bullet point above will be subject to U.S. federal income tax at a flat 30% rate (unless an applicable income tax treaty provides for different treatment) on gain realized upon the sale or other taxable disposition of our common stock or pre-funded warrants, but such gain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distributions (including deemed distributions) on our common stock or pre-funded warrants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or pre-funded warrants provided the non-U.S. holder furnishes the required certification for its non-U.S. status, such as by providing a valid IRS Form W-8BEN, IRS Form W-8BEN-E, or IRS Form W-8ECI, as applicable, or certain other requirements are met. Backup withholding may apply if the payor has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on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exemption applies. An intergovernmental agreement between the United States and an applicable foreign country may modify these requirements. Under certain circumstances, a non-U.S. holder might be eligible for refunds or credits of such taxes. FATCA applies to dividends (including deemed dividends) paid on our common stock or pre-funded warrants and, subject to the proposed Treasury Regulations described below, also applies to gross proceeds from sales or other dispositions of our common stock or pre-funded warrants. The U.S. Treasury Department has released proposed Treasury Regulations which, if finalized in their present form, would eliminate the federal withholding tax of 30% applicable to the gross proceeds of a disposition of our common stock or pre-funded warrants. In its preamble to such proposed Treasury Regulations, the U.S. Treasury Department stated that taxpayers (including applicable withholding agents) may generally rely on the proposed Treasury Regulations until final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own tax advisors regarding the possible implications of FATCA on their investment in our common stock or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Additional conforming changes are hereby made to the Preliminary Prospectus Supplement to reflect the changes described in this free writing prospectus. All terms of the Preliminary Prospectus Supplement applicable to our shares of common stock will be applicable to the shares of common stock underlying the pre-funded warrants upon issuance. </w:t>
      </w:r>
    </w:p>
    <w:p>
      <w:pPr>
        <w:pStyle w:val="TextBody"/>
        <w:bidi w:val="0"/>
        <w:spacing w:before="240" w:after="0"/>
        <w:jc w:val="left"/>
        <w:rPr>
          <w:rFonts w:ascii="Times New Roman" w:hAnsi="Times New Roman"/>
          <w:sz w:val="20"/>
        </w:rPr>
      </w:pPr>
      <w:r>
        <w:rPr>
          <w:rFonts w:ascii="Times New Roman" w:hAnsi="Times New Roman"/>
          <w:sz w:val="20"/>
        </w:rPr>
        <w:t xml:space="preserve">Beta Bionics, Inc. has filed a registration statement (including a preliminary prospectus supplement, dated September 15, 2026 and the accompanying prospectus) with the SEC for the offering to which this communication relates. A preliminary prospectus supplement dated September 15, 2026 related to the offering has been filed with the SEC and is available on the SEC’s website located at http://www.sec.gov. Copies of the preliminary prospectus supplement and the accompanying prospectus related to this offering, when available, may be obtained from J.P. Morgan Securities LLC, c/o Broadridge Financial Solutions, 1155 Long Island Avenue, Edgewood, New York 11717, or by email at prospectus-eq_fi@jpmchase.com and postsalemanualrequests@broadridge.com; or from Piper Sandler &amp; Co., 350 North 5th Street, Suite 1000, Minneapolis, Minnesota 55401, Attention: Prospectus Department, by telephone at (800) 747-3924, or by email at prospectus@psc.com; or from Wells Fargo Securities, LLC, Attention: Wells Fargo Securities, 90 South 7th Street, 5th Floor, Minneapolis, Minnesota 55402, by telephone at 800-645-3751 (option #5), by email at WFScustomerservice@wellsfargo.com; or from Leerink Partners LLC, Attention: Syndicate Department, 53 State Street, 40th Floor, Boston, Massachusetts 02109, by telephone at (800) 808-7525, ext. 6105, or by email at syndicate@leerink.com.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D </w:t>
      </w:r>
    </w:p>
    <w:p>
      <w:pPr>
        <w:pStyle w:val="TextBody"/>
        <w:bidi w:val="0"/>
        <w:spacing w:before="240" w:after="0"/>
        <w:jc w:val="center"/>
        <w:rPr>
          <w:rFonts w:ascii="Times New Roman" w:hAnsi="Times New Roman"/>
          <w:sz w:val="20"/>
        </w:rPr>
      </w:pPr>
      <w:r>
        <w:rPr>
          <w:rFonts w:ascii="Times New Roman" w:hAnsi="Times New Roman"/>
          <w:sz w:val="20"/>
        </w:rPr>
        <w:t xml:space="preserve">Beta Bionics, Inc.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Pricing Term Sheet </w:t>
      </w:r>
    </w:p>
    <w:p>
      <w:pPr>
        <w:pStyle w:val="TextBody"/>
        <w:bidi w:val="0"/>
        <w:spacing w:before="240" w:after="0"/>
        <w:jc w:val="center"/>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PRE-FUNDED WARRANT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PRE-FUNDED COMMON STOCK PURCHASE WARRANT </w:t>
      </w:r>
    </w:p>
    <w:p>
      <w:pPr>
        <w:pStyle w:val="TextBody"/>
        <w:bidi w:val="0"/>
        <w:spacing w:before="0" w:after="0"/>
        <w:jc w:val="center"/>
        <w:rPr>
          <w:rFonts w:ascii="Times New Roman" w:hAnsi="Times New Roman"/>
          <w:b/>
          <w:sz w:val="20"/>
        </w:rPr>
      </w:pPr>
      <w:r>
        <w:rPr>
          <w:rFonts w:ascii="Times New Roman" w:hAnsi="Times New Roman"/>
          <w:b/>
          <w:sz w:val="20"/>
        </w:rPr>
        <w:t xml:space="preserve">BETA BIONICS, INC. </w:t>
      </w:r>
    </w:p>
    <w:p>
      <w:pPr>
        <w:pStyle w:val="TextBody"/>
        <w:bidi w:val="0"/>
        <w:spacing w:before="240" w:after="0"/>
        <w:jc w:val="left"/>
        <w:rPr>
          <w:rFonts w:ascii="Times New Roman" w:hAnsi="Times New Roman"/>
          <w:sz w:val="20"/>
        </w:rPr>
      </w:pPr>
      <w:r>
        <w:rPr>
          <w:rFonts w:ascii="Times New Roman" w:hAnsi="Times New Roman"/>
          <w:sz w:val="20"/>
        </w:rPr>
        <w:t xml:space="preserve">Warrant Shares: </w:t>
      </w:r>
    </w:p>
    <w:p>
      <w:pPr>
        <w:pStyle w:val="TextBody"/>
        <w:bidi w:val="0"/>
        <w:spacing w:before="0" w:after="0"/>
        <w:jc w:val="left"/>
        <w:rPr>
          <w:rFonts w:ascii="Times New Roman" w:hAnsi="Times New Roman"/>
          <w:sz w:val="20"/>
        </w:rPr>
      </w:pPr>
      <w:r>
        <w:rPr>
          <w:rFonts w:ascii="Times New Roman" w:hAnsi="Times New Roman"/>
          <w:sz w:val="20"/>
        </w:rPr>
        <w:t>Date of Issuance:         , 2026 (such date, the “</w:t>
      </w:r>
      <w:r>
        <w:rPr>
          <w:rFonts w:ascii="Times New Roman" w:hAnsi="Times New Roman"/>
          <w:sz w:val="20"/>
          <w:u w:val="single"/>
        </w:rPr>
        <w:t>Issue Date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Warrant No.: PF-[ ] </w:t>
      </w:r>
    </w:p>
    <w:p>
      <w:pPr>
        <w:pStyle w:val="TextBody"/>
        <w:bidi w:val="0"/>
        <w:spacing w:before="240" w:after="0"/>
        <w:jc w:val="left"/>
        <w:rPr>
          <w:rFonts w:ascii="Times New Roman" w:hAnsi="Times New Roman"/>
          <w:sz w:val="20"/>
        </w:rPr>
      </w:pPr>
      <w:r>
        <w:rPr>
          <w:rFonts w:ascii="Times New Roman" w:hAnsi="Times New Roman"/>
          <w:sz w:val="20"/>
        </w:rPr>
        <w:t>THIS PRE-FUNDED COMMON STOCK PURCHASE WARRANT (the “</w:t>
      </w:r>
      <w:r>
        <w:rPr>
          <w:rFonts w:ascii="Times New Roman" w:hAnsi="Times New Roman"/>
          <w:sz w:val="20"/>
          <w:u w:val="single"/>
        </w:rPr>
        <w:t>Warrant</w:t>
      </w:r>
      <w:r>
        <w:rPr>
          <w:rFonts w:ascii="Times New Roman" w:hAnsi="Times New Roman"/>
          <w:sz w:val="20"/>
        </w:rPr>
        <w:t>”) certifies that, for value received, the registered holder hereof or its permitted assigns (the “</w:t>
      </w:r>
      <w:r>
        <w:rPr>
          <w:rFonts w:ascii="Times New Roman" w:hAnsi="Times New Roman"/>
          <w:sz w:val="20"/>
          <w:u w:val="single"/>
        </w:rPr>
        <w:t>Holder</w:t>
      </w:r>
      <w:r>
        <w:rPr>
          <w:rFonts w:ascii="Times New Roman" w:hAnsi="Times New Roman"/>
          <w:sz w:val="20"/>
        </w:rPr>
        <w:t xml:space="preserve">”) is entitled, upon the terms and subject to the limitations on exercise and the conditions set forth herein, at any time on or after the Issue Date, to subscribe for and purchase from </w:t>
      </w:r>
      <w:r>
        <w:rPr>
          <w:rFonts w:ascii="Times New Roman" w:hAnsi="Times New Roman"/>
          <w:b/>
          <w:sz w:val="20"/>
        </w:rPr>
        <w:t>Beta Bionics,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up to       shares (the “</w:t>
      </w:r>
      <w:r>
        <w:rPr>
          <w:rFonts w:ascii="Times New Roman" w:hAnsi="Times New Roman"/>
          <w:sz w:val="20"/>
          <w:u w:val="single"/>
        </w:rPr>
        <w:t>Warrant Shares</w:t>
      </w:r>
      <w:r>
        <w:rPr>
          <w:rFonts w:ascii="Times New Roman" w:hAnsi="Times New Roman"/>
          <w:sz w:val="20"/>
        </w:rPr>
        <w:t>”) of the Company’s common stock, par value $0.0001 per share (“</w:t>
      </w:r>
      <w:r>
        <w:rPr>
          <w:rFonts w:ascii="Times New Roman" w:hAnsi="Times New Roman"/>
          <w:sz w:val="20"/>
          <w:u w:val="single"/>
        </w:rPr>
        <w:t>Common Stock</w:t>
      </w:r>
      <w:r>
        <w:rPr>
          <w:rFonts w:ascii="Times New Roman" w:hAnsi="Times New Roman"/>
          <w:sz w:val="20"/>
        </w:rPr>
        <w:t>”). The purchase price of one share of Common Stock under this Warrant shall be equal to the Exercise Price, as defined in Section 2(b). This Warrant has been issued pursuant to (i) the terms of the Underwriting Agreement, dated September 15, 2026, among the Company on the one hand and, on the other, J.P. Morgan Securities LLC, Piper Sandler &amp; Co., Wells Fargo Securities, LLC and Leerink Partners LLC, as representatives of the several underwriters named therein (the “</w:t>
      </w:r>
      <w:r>
        <w:rPr>
          <w:rFonts w:ascii="Times New Roman" w:hAnsi="Times New Roman"/>
          <w:sz w:val="20"/>
          <w:u w:val="single"/>
        </w:rPr>
        <w:t>Underwriting Agreement</w:t>
      </w:r>
      <w:r>
        <w:rPr>
          <w:rFonts w:ascii="Times New Roman" w:hAnsi="Times New Roman"/>
          <w:sz w:val="20"/>
        </w:rPr>
        <w:t>”), (ii) the Company’s registration statement on Form S-3 (Commission File No. 333-293702) (the “</w:t>
      </w:r>
      <w:r>
        <w:rPr>
          <w:rFonts w:ascii="Times New Roman" w:hAnsi="Times New Roman"/>
          <w:sz w:val="20"/>
          <w:u w:val="single"/>
        </w:rPr>
        <w:t>Registration Statement</w:t>
      </w:r>
      <w:r>
        <w:rPr>
          <w:rFonts w:ascii="Times New Roman" w:hAnsi="Times New Roman"/>
          <w:sz w:val="20"/>
        </w:rPr>
        <w:t>”) and (iii) the Company’s prospectus supplement dated as of September 15, 2026 (the “</w:t>
      </w:r>
      <w:r>
        <w:rPr>
          <w:rFonts w:ascii="Times New Roman" w:hAnsi="Times New Roman"/>
          <w:sz w:val="20"/>
          <w:u w:val="single"/>
        </w:rPr>
        <w:t>Prospectus Supplement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hAnsi="Times New Roman"/>
          <w:sz w:val="20"/>
          <w:u w:val="single"/>
        </w:rPr>
        <w:t>1933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Attribution Parties</w:t>
      </w:r>
      <w:r>
        <w:rPr>
          <w:rFonts w:ascii="Times New Roman" w:hAnsi="Times New Roman"/>
          <w:sz w:val="20"/>
        </w:rPr>
        <w:t>” means, collectively, the following Persons and entities: (i) any investment vehicle, including any funds, feeder funds or managed accounts, currently, or from time to time after the Issue Date, directly or indirectly managed or advised by the Holder’s investment manager, (ii) any direct or indirect Affiliates of the Holder or any of the foregoing, (iii) any Person acting or who could be deemed to be acting as a Group together with the Holder or any of the foregoing and (iv) any other Persons whose beneficial ownership of Common Stock would or could be aggregated with the Holder’s and the other Attribution Parties for purposes of Section 13(d) or Section 16 of the Securities Exchange Act of 1934, as amended (the “</w:t>
      </w:r>
      <w:r>
        <w:rPr>
          <w:rFonts w:ascii="Times New Roman" w:hAnsi="Times New Roman"/>
          <w:sz w:val="20"/>
          <w:u w:val="single"/>
        </w:rPr>
        <w:t>1934 Act</w:t>
      </w:r>
      <w:r>
        <w:rPr>
          <w:rFonts w:ascii="Times New Roman" w:hAnsi="Times New Roman"/>
          <w:sz w:val="20"/>
        </w:rPr>
        <w:t xml:space="preserve">”). For clarity, the purpose of the foregoing is to subject collectively the Holder and all other Attribution Parties to the Maximum Percentage (as defined in Section 2(e)).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Bloomberg</w:t>
      </w:r>
      <w:r>
        <w:rPr>
          <w:rFonts w:ascii="Times New Roman" w:hAnsi="Times New Roman"/>
          <w:sz w:val="20"/>
        </w:rPr>
        <w:t xml:space="preserve">” means Bloomberg Financial Markets.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Business Day</w:t>
      </w:r>
      <w:r>
        <w:rPr>
          <w:rFonts w:ascii="Times New Roman" w:hAnsi="Times New Roman"/>
          <w:sz w:val="20"/>
        </w:rPr>
        <w:t xml:space="preserve">” means any day except any Saturday, any Sunday, any day that is a federal legal holiday in the United States or any day on which banking institutions in the city of New York, New York are authorized or required by law or other governmental action to remain closed.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Group</w:t>
      </w:r>
      <w:r>
        <w:rPr>
          <w:rFonts w:ascii="Times New Roman" w:hAnsi="Times New Roman"/>
          <w:sz w:val="20"/>
        </w:rPr>
        <w:t xml:space="preserve">” means a “group” as that term is used in Section 13(d) of the 1934 Act and as defined in Rule 13d-5 thereunder.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Person</w:t>
      </w:r>
      <w:r>
        <w:rPr>
          <w:rFonts w:ascii="Times New Roman" w:hAnsi="Times New Roman"/>
          <w:sz w:val="20"/>
        </w:rPr>
        <w:t xml:space="preserve">” means an individual, a limited liability company, a partnership, a joint venture, a corporation, a trust, an unincorporated organization, any other entity and a government or any department or agency thereof.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for the Trading Market with respect to the Common Stock that is in effect on the date of delivery of an applicable Notice of Exercise, which as of the Issue Date was “T+1.”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Trading Day</w:t>
      </w:r>
      <w:r>
        <w:rPr>
          <w:rFonts w:ascii="Times New Roman" w:hAnsi="Times New Roman"/>
          <w:sz w:val="20"/>
        </w:rPr>
        <w:t xml:space="preserve">” means any day on which the Common Stock is traded on the Trading Market.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Trading Market</w:t>
      </w:r>
      <w:r>
        <w:rPr>
          <w:rFonts w:ascii="Times New Roman" w:hAnsi="Times New Roman"/>
          <w:sz w:val="20"/>
        </w:rPr>
        <w:t xml:space="preserve">” means the principal securities exchange or securities market, including an over-the-counter market, on which the Common Stock is then traded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sz w:val="20"/>
          <w:u w:val="single"/>
        </w:rPr>
        <w:t>Weighted Average Price</w:t>
      </w:r>
      <w:r>
        <w:rPr>
          <w:rFonts w:ascii="Times New Roman" w:hAnsi="Times New Roman"/>
          <w:sz w:val="20"/>
        </w:rPr>
        <w:t xml:space="preserve">” means, for any security as of any date, the dollar volume-weighted average price for such security on the Trading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published by OTC Markets Group, Inc. (or a similar organization or agency succeeding to its functions of reporting prices).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5(n) with the term “Weighted Average Price” being substituted for the term “Exercise Price.” All such determinations shall be appropriately adjusted for any stock dividend, stock split, stock combination or other similar transaction during such period. </w:t>
      </w:r>
    </w:p>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Warrant</w:t>
      </w:r>
      <w:r>
        <w:rPr>
          <w:rFonts w:ascii="Times New Roman" w:hAnsi="Times New Roman"/>
          <w:sz w:val="20"/>
        </w:rPr>
        <w:t>. Subject to the terms and conditions hereof, the purchase rights represented by this Warrant may be exercised, in whole or in part, at any time or times on or after the Issue Date by delivery (whether via email or otherwise) to the Company (or such other office or agency of the Company as it may designate by notice in writing to the registered Holder at the address of the Holder appearing on the books of the Company) of a duly executed copy of the Notice of Exercise form annexed hereto (the “</w:t>
      </w:r>
      <w:r>
        <w:rPr>
          <w:rFonts w:ascii="Times New Roman" w:hAnsi="Times New Roman"/>
          <w:sz w:val="20"/>
          <w:u w:val="single"/>
        </w:rPr>
        <w:t>Notice of Exercise</w:t>
      </w:r>
      <w:r>
        <w:rPr>
          <w:rFonts w:ascii="Times New Roman" w:hAnsi="Times New Roman"/>
          <w:sz w:val="20"/>
        </w:rPr>
        <w:t xml:space="preserve">”) and by payment to the Company of an amount equal to the aggregate Exercise Price of the Warrant Shares thereby purchased by wire transfer (or by notifying the Company that this Warrant is being exercised pursuant to a Cashless Exercise (as defined below)). No ink-original Notice of Exercise shall be required, nor shall any medallion guarantee (or other type of guarantee or notarization) of any Notice of Exercise form be required.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hAnsi="Times New Roman"/>
          <w:b/>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The aggregate exercise price of this Warrant, except for a nominal exercise price of $0.0001 per Warrant Share (subject to adjustment as provided herein), was pre-funded to the Company on or prior to the Issue Date and, consequently, no additional consideration (other than such nominal exercise price) shall be required to be paid by the Holder to effect any exercise of this Warrant. The Holder shall not be entitled to the return or refund of all, or any portion, of such pre-paid aggregate exercise price under any circumstance or for any reason whatsoever. The remaining unpaid exercise price per Warrant Share shall be $0.0001, subject to adjustment as provided herein (the “</w:t>
      </w:r>
      <w:r>
        <w:rPr>
          <w:rFonts w:ascii="Times New Roman" w:hAnsi="Times New Roman"/>
          <w:sz w:val="20"/>
          <w:u w:val="single"/>
        </w:rPr>
        <w:t>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Certificates for shares purchased hereunder shall be transmitted to the Holder by crediting the account of the Holder’s prime broker with The Depository Trust Company (“</w:t>
      </w:r>
      <w:r>
        <w:rPr>
          <w:rFonts w:ascii="Times New Roman" w:hAnsi="Times New Roman"/>
          <w:sz w:val="20"/>
          <w:u w:val="single"/>
        </w:rPr>
        <w:t>DTC</w:t>
      </w:r>
      <w:r>
        <w:rPr>
          <w:rFonts w:ascii="Times New Roman" w:hAnsi="Times New Roman"/>
          <w:sz w:val="20"/>
        </w:rPr>
        <w:t>”) through its Deposit/Withdrawal at Custodian (“</w:t>
      </w:r>
      <w:r>
        <w:rPr>
          <w:rFonts w:ascii="Times New Roman" w:hAnsi="Times New Roman"/>
          <w:sz w:val="20"/>
          <w:u w:val="single"/>
        </w:rPr>
        <w:t>DWAC</w:t>
      </w:r>
      <w:r>
        <w:rPr>
          <w:rFonts w:ascii="Times New Roman" w:hAnsi="Times New Roman"/>
          <w:sz w:val="20"/>
        </w:rPr>
        <w:t xml:space="preserve">”) system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 and otherwise by physical delivery to the address specified by the Holder in the Notice of Exercise no later than the number of Trading Days comprising the Standard Settlement Period after the receipt by the Company of the Notice of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(provided that payment of the Exercise Price (or notification of Cashless Exercise, if applicable) has then been received by the Company) (such date, the “</w:t>
      </w:r>
      <w:r>
        <w:rPr>
          <w:rFonts w:ascii="Times New Roman" w:hAnsi="Times New Roman"/>
          <w:sz w:val="20"/>
          <w:u w:val="single"/>
        </w:rPr>
        <w:t>Warrant Share Delivery Date</w:t>
      </w:r>
      <w:r>
        <w:rPr>
          <w:rFonts w:ascii="Times New Roman" w:hAnsi="Times New Roman"/>
          <w:sz w:val="20"/>
        </w:rPr>
        <w:t xml:space="preserve">”). This Warrant shall be deemed to have been exercised upon proper delivery of the Notice of Exercise and payment of the Exercise Price (or notification of Cashless Exercise). The Warrant Shares shall be deemed to have been issued, and the Holder or any other person so designated to be named therein shall be deemed to have become a holder of record of such shares for all purposes, as of the date the Warrant has been exercised. The Company shall use commercially reasonable efforts to maintain a transfer agent that is a participant in the FAST program so long as this Warrant remains outstanding and exercisable.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to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Compensation for Buy-In on Failure to Timely Deliver Warrant Shares Upon Exercise</w:t>
      </w:r>
      <w:r>
        <w:rPr>
          <w:rFonts w:ascii="Times New Roman" w:hAnsi="Times New Roman"/>
          <w:sz w:val="20"/>
        </w:rPr>
        <w:t>. In addition to any other rights available to the Holder, if the Company fails to cause its transfer agent to transmit to the Holder the Warrant Shares in accordance with the provisions of Section 2(c)(i) pursuant to an exercise on or before the Warrant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promptly, and in any event within two (2) Business Days of receipt of notice from the Holder of the occurrence of a Buy-In, either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or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with an aggregate sale price giving rise to such purchase obligation of $10,000, under clause (A) of the immediately preceding sentence the Company shall be required to pay the Holder $1,000. In connection with the foregoing, the Holder shall provide the Company written notice within three (3) Business Days after the occurrence of a Buy-In, indicating the amounts payable to the Holder in respect of the Buy-In and, upon request of the Company, evidence of the amount of such loss. Subject to Section 5(i),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u w:val="single"/>
        </w:rPr>
        <w:t>(iv). 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or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Charges, Taxes and Expenses</w:t>
      </w:r>
      <w:r>
        <w:rPr>
          <w:rFonts w:ascii="Times New Roman" w:hAnsi="Times New Roman"/>
          <w:sz w:val="20"/>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Cashless Exercise</w:t>
      </w:r>
      <w:r>
        <w:rPr>
          <w:rFonts w:ascii="Times New Roman" w:hAnsi="Times New Roman"/>
          <w:sz w:val="20"/>
        </w:rPr>
        <w:t>. Notwithstanding anything contained herein to the contrary, the Holder may exercise this Warrant, whether in whole or in part, and in lieu of making the cash payment otherwise contemplated to be made to the Company upon such exercise in payment of the Exercise Price, by effecting a cashless exercise of this Warrant pursuant to which the Holder shall receive upon such cashless exercise the “Net Number” of Warrant Shares determined according to the following formula (a “</w:t>
      </w:r>
      <w:r>
        <w:rPr>
          <w:rFonts w:ascii="Times New Roman" w:hAnsi="Times New Roman"/>
          <w:sz w:val="20"/>
          <w:u w:val="single"/>
        </w:rPr>
        <w:t>Cashless Exercise</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3"/>
        <w:gridCol w:w="123"/>
        <w:gridCol w:w="1618"/>
        <w:gridCol w:w="123"/>
        <w:gridCol w:w="6548"/>
      </w:tblGrid>
      <w:tr>
        <w:trPr/>
        <w:tc>
          <w:tcPr>
            <w:tcW w:w="179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548" w:type="dxa"/>
            <w:tcBorders/>
            <w:vAlign w:val="center"/>
          </w:tcPr>
          <w:p>
            <w:pPr>
              <w:pStyle w:val="TableContents"/>
              <w:bidi w:val="0"/>
              <w:spacing w:before="0" w:after="283"/>
              <w:jc w:val="left"/>
              <w:rPr>
                <w:sz w:val="4"/>
                <w:szCs w:val="4"/>
              </w:rPr>
            </w:pPr>
            <w:r>
              <w:rPr>
                <w:sz w:val="4"/>
                <w:szCs w:val="4"/>
              </w:rPr>
            </w:r>
          </w:p>
        </w:tc>
      </w:tr>
      <w:tr>
        <w:trPr/>
        <w:tc>
          <w:tcPr>
            <w:tcW w:w="1793" w:type="dxa"/>
            <w:tcBorders/>
          </w:tcPr>
          <w:p>
            <w:pPr>
              <w:pStyle w:val="TableContents"/>
              <w:bidi w:val="0"/>
              <w:spacing w:before="0" w:after="0"/>
              <w:jc w:val="left"/>
              <w:rPr>
                <w:rFonts w:ascii="Times New Roman" w:hAnsi="Times New Roman"/>
                <w:sz w:val="20"/>
              </w:rPr>
            </w:pPr>
            <w:r>
              <w:rPr>
                <w:rFonts w:ascii="Times New Roman" w:hAnsi="Times New Roman"/>
                <w:sz w:val="20"/>
              </w:rPr>
              <w:t>Net Number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618" w:type="dxa"/>
            <w:tcBorders>
              <w:bottom w:val="single" w:sz="2" w:space="0" w:color="000000"/>
            </w:tcBorders>
            <w:tcMar>
              <w:bottom w:w="28" w:type="dxa"/>
            </w:tcMar>
          </w:tcPr>
          <w:p>
            <w:pPr>
              <w:pStyle w:val="TableContents"/>
              <w:bidi w:val="0"/>
              <w:spacing w:before="0" w:after="283"/>
              <w:jc w:val="center"/>
              <w:rPr/>
            </w:pPr>
            <w:r>
              <w:rPr/>
              <w:t>(A x B) - (A x C)</w:t>
            </w:r>
          </w:p>
        </w:tc>
        <w:tc>
          <w:tcPr>
            <w:tcW w:w="123" w:type="dxa"/>
            <w:tcBorders/>
            <w:vAlign w:val="bottom"/>
          </w:tcPr>
          <w:p>
            <w:pPr>
              <w:pStyle w:val="TableContents"/>
              <w:bidi w:val="0"/>
              <w:spacing w:before="0" w:after="283"/>
              <w:jc w:val="left"/>
              <w:rPr/>
            </w:pPr>
            <w:r>
              <w:rPr/>
              <w:t>  </w:t>
            </w:r>
          </w:p>
        </w:tc>
        <w:tc>
          <w:tcPr>
            <w:tcW w:w="6548" w:type="dxa"/>
            <w:tcBorders/>
          </w:tcPr>
          <w:p>
            <w:pPr>
              <w:pStyle w:val="TableContents"/>
              <w:bidi w:val="0"/>
              <w:spacing w:before="0" w:after="283"/>
              <w:jc w:val="left"/>
              <w:rPr>
                <w:sz w:val="4"/>
                <w:szCs w:val="4"/>
              </w:rPr>
            </w:pPr>
            <w:r>
              <w:rPr>
                <w:sz w:val="4"/>
                <w:szCs w:val="4"/>
              </w:rPr>
            </w:r>
          </w:p>
        </w:tc>
      </w:tr>
      <w:tr>
        <w:trPr/>
        <w:tc>
          <w:tcPr>
            <w:tcW w:w="179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center"/>
              <w:rPr/>
            </w:pPr>
            <w:r>
              <w:rPr/>
              <w:t>B</w:t>
            </w:r>
          </w:p>
        </w:tc>
        <w:tc>
          <w:tcPr>
            <w:tcW w:w="123" w:type="dxa"/>
            <w:tcBorders/>
            <w:vAlign w:val="bottom"/>
          </w:tcPr>
          <w:p>
            <w:pPr>
              <w:pStyle w:val="TableContents"/>
              <w:bidi w:val="0"/>
              <w:spacing w:before="0" w:after="283"/>
              <w:jc w:val="left"/>
              <w:rPr/>
            </w:pPr>
            <w:r>
              <w:rPr/>
              <w:t>  </w:t>
            </w:r>
          </w:p>
        </w:tc>
        <w:tc>
          <w:tcPr>
            <w:tcW w:w="654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formula: </w:t>
      </w:r>
    </w:p>
    <w:p>
      <w:pPr>
        <w:pStyle w:val="TextBody"/>
        <w:bidi w:val="0"/>
        <w:spacing w:before="0" w:after="0"/>
        <w:jc w:val="left"/>
        <w:rPr/>
      </w:pPr>
      <w:r>
        <w:rPr/>
        <w:t> </w:t>
      </w:r>
    </w:p>
    <w:tbl>
      <w:tblPr>
        <w:tblW w:w="4750" w:type="pct"/>
        <w:jc w:val="right"/>
        <w:tblInd w:w="0" w:type="dxa"/>
        <w:tblLayout w:type="fixed"/>
        <w:tblCellMar>
          <w:top w:w="0" w:type="dxa"/>
          <w:left w:w="0" w:type="dxa"/>
          <w:bottom w:w="0" w:type="dxa"/>
          <w:right w:w="0" w:type="dxa"/>
        </w:tblCellMar>
      </w:tblPr>
      <w:tblGrid>
        <w:gridCol w:w="328"/>
        <w:gridCol w:w="122"/>
        <w:gridCol w:w="9244"/>
      </w:tblGrid>
      <w:tr>
        <w:trPr/>
        <w:tc>
          <w:tcPr>
            <w:tcW w:w="32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244" w:type="dxa"/>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A =</w:t>
            </w:r>
          </w:p>
        </w:tc>
        <w:tc>
          <w:tcPr>
            <w:tcW w:w="122"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the total number of shares of Common Stock with respect to which this Warrant is then being exercised.</w:t>
            </w:r>
          </w:p>
        </w:tc>
      </w:tr>
      <w:tr>
        <w:trPr>
          <w:trHeight w:val="120" w:hRule="atLeast"/>
        </w:trPr>
        <w:tc>
          <w:tcPr>
            <w:tcW w:w="328" w:type="dxa"/>
            <w:tcBorders/>
            <w:vAlign w:val="center"/>
          </w:tcPr>
          <w:p>
            <w:pPr>
              <w:pStyle w:val="TableContents"/>
              <w:bidi w:val="0"/>
              <w:spacing w:before="0" w:after="283"/>
              <w:jc w:val="left"/>
              <w:rPr>
                <w:sz w:val="4"/>
                <w:szCs w:val="4"/>
              </w:rPr>
            </w:pPr>
            <w:r>
              <w:rPr>
                <w:sz w:val="4"/>
                <w:szCs w:val="4"/>
              </w:rPr>
            </w:r>
          </w:p>
        </w:tc>
        <w:tc>
          <w:tcPr>
            <w:tcW w:w="9366"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B =</w:t>
            </w:r>
          </w:p>
        </w:tc>
        <w:tc>
          <w:tcPr>
            <w:tcW w:w="122"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the Weighted Average Price of the shares of Common Stock on the date immediately preceding the date of the Notice of Exercise.</w:t>
            </w:r>
          </w:p>
        </w:tc>
      </w:tr>
      <w:tr>
        <w:trPr>
          <w:trHeight w:val="120" w:hRule="atLeast"/>
        </w:trPr>
        <w:tc>
          <w:tcPr>
            <w:tcW w:w="328" w:type="dxa"/>
            <w:tcBorders/>
            <w:vAlign w:val="center"/>
          </w:tcPr>
          <w:p>
            <w:pPr>
              <w:pStyle w:val="TableContents"/>
              <w:bidi w:val="0"/>
              <w:spacing w:before="0" w:after="283"/>
              <w:jc w:val="left"/>
              <w:rPr>
                <w:sz w:val="4"/>
                <w:szCs w:val="4"/>
              </w:rPr>
            </w:pPr>
            <w:r>
              <w:rPr>
                <w:sz w:val="4"/>
                <w:szCs w:val="4"/>
              </w:rPr>
            </w:r>
          </w:p>
        </w:tc>
        <w:tc>
          <w:tcPr>
            <w:tcW w:w="9366"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C =</w:t>
            </w:r>
          </w:p>
        </w:tc>
        <w:tc>
          <w:tcPr>
            <w:tcW w:w="122"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the Exercise Price then in effect for the applicable Warrant Shares at the time of such exercise.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at the time of the proposed exercise of this Warrant, there is not an effective registration statement for the sale of the Warrant Shares for cash, then this Warrant may </w:t>
      </w:r>
      <w:r>
        <w:rPr>
          <w:rFonts w:ascii="Times New Roman" w:hAnsi="Times New Roman"/>
          <w:sz w:val="20"/>
          <w:u w:val="single"/>
        </w:rPr>
        <w:t>only</w:t>
      </w:r>
      <w:r>
        <w:rPr>
          <w:rFonts w:ascii="Times New Roman" w:hAnsi="Times New Roman"/>
          <w:sz w:val="20"/>
        </w:rPr>
        <w:t xml:space="preserve"> be exercised through a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If Warrant Shares are issued in a Cashless Exercise, the Company acknowledges and agrees that in accordance with Section 3(a)(9) of the 1933 Act, the Warrant Shares shall take on the characteristics of the Warrant being exercised, and the holding period of the Warrant being exercised may be tacked on to the holding period of the Warrant Shares. The Company agrees not to take any position contrary to this Section 2(d).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Holder’s Exercise Limitations</w:t>
      </w:r>
      <w:r>
        <w:rPr>
          <w:rFonts w:ascii="Times New Roman" w:hAnsi="Times New Roman"/>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[4.99%][9.99%] (the “</w:t>
      </w:r>
      <w:r>
        <w:rPr>
          <w:rFonts w:ascii="Times New Roman" w:hAnsi="Times New Roman"/>
          <w:sz w:val="20"/>
          <w:u w:val="single"/>
        </w:rPr>
        <w:t>Maximum Percentage</w:t>
      </w:r>
      <w:r>
        <w:rPr>
          <w:rFonts w:ascii="Times New Roman" w:hAnsi="Times New Roman"/>
          <w:sz w:val="20"/>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1934 Act and the rules and regulations promulgated thereunder, it being acknowledged by the Holder that the Company is not representing to the Holder that such calculation is in compliance with Section 13(d) of the 1934 Act and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Form 8-K or other public filing with the Securities and Exchange Commission (the “</w:t>
      </w:r>
      <w:r>
        <w:rPr>
          <w:rFonts w:ascii="Times New Roman" w:hAnsi="Times New Roman"/>
          <w:sz w:val="20"/>
          <w:u w:val="single"/>
        </w:rPr>
        <w:t>SEC</w:t>
      </w:r>
      <w:r>
        <w:rPr>
          <w:rFonts w:ascii="Times New Roman" w:hAnsi="Times New Roman"/>
          <w:sz w:val="20"/>
        </w:rPr>
        <w:t>”), as the case may be, (y) a more recent public announcement by the Company or (z) any other written notice by the Company setting forth the number of shares of Common Stock outstanding (the “</w:t>
      </w:r>
      <w:r>
        <w:rPr>
          <w:rFonts w:ascii="Times New Roman" w:hAnsi="Times New Roman"/>
          <w:sz w:val="20"/>
          <w:u w:val="single"/>
        </w:rPr>
        <w:t>Reported Outstanding Share Number</w:t>
      </w:r>
      <w:r>
        <w:rPr>
          <w:rFonts w:ascii="Times New Roman" w:hAnsi="Times New Roman"/>
          <w:sz w:val="20"/>
        </w:rPr>
        <w:t>”). If the Company receives a Notice of Exercise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2(e),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sz w:val="20"/>
          <w:u w:val="single"/>
        </w:rPr>
        <w:t>Reduction Shares</w:t>
      </w:r>
      <w:r>
        <w:rPr>
          <w:rFonts w:ascii="Times New Roman" w:hAnsi="Times New Roman"/>
          <w:sz w:val="20"/>
        </w:rPr>
        <w:t>”) and (ii) as soon as reasonably practicable, the Company shall return to the Holder any exercise price paid by the Holder for the Reduction Shares. Upon the written request of the Holder, the Company shall within two (2) Business Days confirm in writing (including by electronic mail) to the Holder that the number of shares of Common Stock then outstanding is not less than the Company’s most recently reported outstanding share number or, if the number of shares of Common Stock then outstanding is less than the Company’s most recently reported outstanding share number, the Company shall confirm in writing (including by electronic mail) to the Holder the number of shares of Common Stock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hAnsi="Times New Roman"/>
          <w:sz w:val="20"/>
          <w:u w:val="single"/>
        </w:rPr>
        <w:t>Excess Shares</w:t>
      </w:r>
      <w:r>
        <w:rPr>
          <w:rFonts w:ascii="Times New Roman" w:hAnsi="Times New Roman"/>
          <w:sz w:val="20"/>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5635(b) or any successor rule) as specified in such notice; </w:t>
      </w:r>
      <w:r>
        <w:rPr>
          <w:rFonts w:ascii="Times New Roman" w:hAnsi="Times New Roman"/>
          <w:sz w:val="20"/>
          <w:u w:val="single"/>
        </w:rPr>
        <w:t>provided</w:t>
      </w:r>
      <w:r>
        <w:rPr>
          <w:rFonts w:ascii="Times New Roman" w:hAnsi="Times New Roman"/>
          <w:sz w:val="20"/>
        </w:rPr>
        <w:t xml:space="preserve">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19.99% limitation contained in this paragraph may not be waived and both the nonwaivable 19.99% limitation and the Maximum Percentage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Subdivision or Combination of Common Stock</w:t>
      </w:r>
      <w:r>
        <w:rPr>
          <w:rFonts w:ascii="Times New Roman" w:hAnsi="Times New Roman"/>
          <w:sz w:val="20"/>
        </w:rPr>
        <w:t xml:space="preserve">. If at any time while this Warrant is outstanding the Company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at any time while this Warrant is outstanding the Company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3(a) shall become effective at the close of business on the date the subdivision or combination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Subsequent Rights Offerings</w:t>
      </w:r>
      <w:r>
        <w:rPr>
          <w:rFonts w:ascii="Times New Roman" w:hAnsi="Times New Roman"/>
          <w:sz w:val="20"/>
        </w:rPr>
        <w:t>. In addition to any adjustments pursuant to Section 3(a) above, if during such time as this Warrant is outstanding the Company grants, issues or sells any rights to purchase stock, warrants, securities or other property, in each case pro rata to the record holders of any class of shares of Common Stock (the “</w:t>
      </w:r>
      <w:r>
        <w:rPr>
          <w:rFonts w:ascii="Times New Roman" w:hAnsi="Times New Roman"/>
          <w:sz w:val="20"/>
          <w:u w:val="single"/>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Section 2(e)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to the extent that the Holder’s right to participate in any such Purchase Right would result in the Holder and the other Attribution Parties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and the other Attribution Parties exceeding the Maximum Percentage).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 Rata Distributions</w:t>
      </w:r>
      <w:r>
        <w:rPr>
          <w:rFonts w:ascii="Times New Roman" w:hAnsi="Times New Roman"/>
          <w:sz w:val="20"/>
        </w:rPr>
        <w:t>. If at any time while this Warrant is outstanding the Company shall declare or make any dividend or other distribution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sz w:val="20"/>
          <w:u w:val="single"/>
        </w:rPr>
        <w:t>Distribution</w:t>
      </w:r>
      <w:r>
        <w:rPr>
          <w:rFonts w:ascii="Times New Roman" w:hAnsi="Times New Roman"/>
          <w:sz w:val="20"/>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Section 2(e) hereof)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to the extent that the Holder’s right to participate in any such Distribution would result in the Holder and the other Attribution Parties exceeding the Maximum Percentage, then the Holder shall not be entitled to participate in such Distribution to such extent (or in the beneficial ownership of any shares of Common Stock as a result of such Distribution to such extent) and the applicable portion of such Distribution shall be held in abeyance for the benefit of the Holder until such time, if ever, as its right thereto would not result in the Holder and the other Attribution Parties exceeding the Maximum Percentage).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w:t>
      </w:r>
      <w:r>
        <w:rPr>
          <w:rFonts w:ascii="Times New Roman" w:hAnsi="Times New Roman"/>
          <w:sz w:val="20"/>
        </w:rPr>
        <w:t>. Unless earlier exercised, this Warrant shall automatically be deemed fully exercised in accordance with the provisions of Section 2(d) hereof immediately prior to the consummation of a Fundamental Transaction, without regard to any limitations on exercise contained herein, and after the completion of such full exercise, shall be deemed terminated upon the consummation of such Fundamental Transaction. “</w:t>
      </w:r>
      <w:r>
        <w:rPr>
          <w:rFonts w:ascii="Times New Roman" w:hAnsi="Times New Roman"/>
          <w:sz w:val="20"/>
          <w:u w:val="single"/>
        </w:rPr>
        <w:t>Fundamental Transaction</w:t>
      </w:r>
      <w:r>
        <w:rPr>
          <w:rFonts w:ascii="Times New Roman" w:hAnsi="Times New Roman"/>
          <w:sz w:val="20"/>
        </w:rPr>
        <w:t xml:space="preserve">” means that the Company shall, directly or indirectly, in one or more related transactions, (i) consolidate or merge with or into another Person in a transaction in which the Company is not the surviving entity or the stockholders of the Company immediately prior to such merger or consolidation do not own, directly or indirectly, more than 50% of the voting power of the surviving entity immediately after such merger or consolidation, (ii) sell, assign, transfer, convey or otherwise dispose of all or a majority of the properties or assets of the Company on a consolidated basis to another Person, (iii) allow another Person to make a purchase, tender or exchange offer that results in such Person acquiring more than 50% of the outstanding shares of Common Stock (not including any shares of Common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similar transaction) with another Person whereby (A) such other Person acquires more than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(B) any Person or Group is or shall become the beneficial owner (determined in accordance with Section 13(d) of the 1934 Act and the rules and regulations promulgated thereunder), directly or indirectly, of more than 50% of the aggregate ordinary voting power represented by issued and outstanding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whole share, as the case may be. For purposes of this Section 3, any calculation of the number of shares of Common Stock deemed to be issued and outstanding as of a given date shall not include treasury shares, if any. In any case in which this Section 3 shall require that an adjustment in the Exercise Price be made effective as of a record date for a specified event, if Holder exercises this Warrant after such record date, the Company may elect to defer, until the occurrence of such event, the issuance of the shares of Common Stock and other capital stock of the Company in excess of the shares of Common Stock and other capital stock of the Company, if any, issuable upon such exercise on the basis of the Exercise Price in effect prior to such adjustment;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such case the Company shall deliver to the Holder a due bill or other appropriate instrument evidencing the Holder’s right to receive such additional shares and/or other capital securities upon the occurrence of the event requiring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 Value</w:t>
      </w:r>
      <w:r>
        <w:rPr>
          <w:rFonts w:ascii="Times New Roman" w:hAnsi="Times New Roman"/>
          <w:sz w:val="20"/>
        </w:rPr>
        <w:t xml:space="preserve">. Notwithstanding anything to the contrary in this Warrant, in no event shall the Exercise Price be reduced below the par value of the Company’s Common Stock. </w:t>
      </w:r>
    </w:p>
    <w:p>
      <w:pPr>
        <w:pStyle w:val="TextBody"/>
        <w:bidi w:val="0"/>
        <w:spacing w:before="240" w:after="0"/>
        <w:jc w:val="left"/>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Subject to compliance with any applicable securities laws, this Warrant and all rights hereunder are transferable, in whole or in part, upon surrender of this Warrant at the principal office of the Company (or other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This Warrant may be divided or combined with other Warrants upon presentation hereof at the aforesaid office of the Company (or other designated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set forth on the first page of this Warrant and shall be identical to this Warrant except as to the number of Warrant Shares issuable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Company shall initially serve as warrant agent under this Warrant. The Company shall register ownership of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Stockholder Until Exercise</w:t>
      </w:r>
      <w:r>
        <w:rPr>
          <w:rFonts w:ascii="Times New Roman" w:hAnsi="Times New Roman"/>
          <w:sz w:val="20"/>
        </w:rPr>
        <w:t xml:space="preserve">. Except as otherwise set forth in this Warrant, this Warrant does not entitle the Holder to any voting rights or other rights as a stockholder of the Company prior to the exercise hereof as set forth in Section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Business Day, then such action may be taken or such right may be exercised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Authorized Shares</w:t>
      </w:r>
      <w:r>
        <w:rPr>
          <w:rFonts w:ascii="Times New Roman" w:hAnsi="Times New Roman"/>
          <w:sz w:val="20"/>
        </w:rPr>
        <w:t xml:space="preserve">. 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issuance thereof (other than taxes in respect of any transfer occurring contemporaneously with such issuance). Except and to the extent as waived or consented to by the Holder, the Company shall not by any action, including, without limitation, amending its certificate of incorporation or through any reorganization, transfer of assets, consolidation, merger, dissolution, issuance or sale of securities or any other voluntary action, in each case to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Governing Law</w:t>
      </w:r>
      <w:r>
        <w:rPr>
          <w:rFonts w:ascii="Times New Roman" w:hAnsi="Times New Roman"/>
          <w:sz w:val="20"/>
        </w:rPr>
        <w:t xml:space="preserve">. This Warrant shall be governed by, and construed in accordance with, the laws of the State of New York without giving effect to the conflicts of law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the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Procedures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email at or prior to 5:30 p.m. (New York City time) on a Trading Day, (b) the next Trading Day after the date of transmission, if such notice or communication is delivered via email on a day that is not a Trading Day or later than 5:30 p.m. (New York City time) on any Trading Day, (c) the second (2nd) Trading Day following the date of mailing, if sent by U.S. nationally recognized overnight courier service or by International Federal Express, (d) the third (3rd) Trading Day following the date of mailing if sent by first-class registered or certified mail domestic, or (e) upon actual receipt by the party to whom such notice is required to be given. The addresses for such communications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Beta Bionics, Inc. </w:t>
      </w:r>
    </w:p>
    <w:p>
      <w:pPr>
        <w:pStyle w:val="TextBody"/>
        <w:bidi w:val="0"/>
        <w:spacing w:before="0" w:after="0"/>
        <w:jc w:val="left"/>
        <w:rPr>
          <w:rFonts w:ascii="Times New Roman" w:hAnsi="Times New Roman"/>
          <w:sz w:val="20"/>
        </w:rPr>
      </w:pPr>
      <w:r>
        <w:rPr>
          <w:rFonts w:ascii="Times New Roman" w:hAnsi="Times New Roman"/>
          <w:sz w:val="20"/>
        </w:rPr>
        <w:t xml:space="preserve">11 Hughes </w:t>
      </w:r>
    </w:p>
    <w:p>
      <w:pPr>
        <w:pStyle w:val="TextBody"/>
        <w:bidi w:val="0"/>
        <w:spacing w:before="0" w:after="0"/>
        <w:jc w:val="left"/>
        <w:rPr>
          <w:rFonts w:ascii="Times New Roman" w:hAnsi="Times New Roman"/>
          <w:sz w:val="20"/>
        </w:rPr>
      </w:pPr>
      <w:r>
        <w:rPr>
          <w:rFonts w:ascii="Times New Roman" w:hAnsi="Times New Roman"/>
          <w:sz w:val="20"/>
        </w:rPr>
        <w:t xml:space="preserve">Irvine, CA 92618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10265 Science Center Drive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92121-1117 </w:t>
      </w:r>
    </w:p>
    <w:p>
      <w:pPr>
        <w:pStyle w:val="TextBody"/>
        <w:bidi w:val="0"/>
        <w:spacing w:before="0" w:after="0"/>
        <w:jc w:val="left"/>
        <w:rPr>
          <w:rFonts w:ascii="Times New Roman" w:hAnsi="Times New Roman"/>
          <w:sz w:val="20"/>
        </w:rPr>
      </w:pPr>
      <w:r>
        <w:rPr>
          <w:rFonts w:ascii="Times New Roman" w:hAnsi="Times New Roman"/>
          <w:sz w:val="20"/>
        </w:rPr>
        <w:t xml:space="preserve">Attention: Carlos Ramirez (cramirez@cooley.com)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w:t>
      </w:r>
    </w:p>
    <w:p>
      <w:pPr>
        <w:pStyle w:val="TextBody"/>
        <w:bidi w:val="0"/>
        <w:spacing w:before="120" w:after="0"/>
        <w:jc w:val="left"/>
        <w:rPr>
          <w:rFonts w:ascii="Times New Roman" w:hAnsi="Times New Roman"/>
          <w:sz w:val="20"/>
        </w:rPr>
      </w:pPr>
      <w:r>
        <w:rPr>
          <w:rFonts w:ascii="Times New Roman" w:hAnsi="Times New Roman"/>
          <w:sz w:val="20"/>
        </w:rPr>
        <w:t xml:space="preserve">To the address or email address set forth in the Warrant Register, or as otherwise provided by the Holder to the Company in accordance with this Section 5(g)(i).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Adjustment to Exercise Price</w:t>
      </w:r>
      <w:r>
        <w:rPr>
          <w:rFonts w:ascii="Times New Roman" w:hAnsi="Times New Roman"/>
          <w:sz w:val="20"/>
        </w:rPr>
        <w:t xml:space="preserve">. Whenever the Exercise Price or number of Warrant Shares is adjusted pursuant to any provision of Section 3, the Company shall promptly provide the Holder a notice setting forth the Exercise Price and number of Warrant Shares after such adjustment and setting forth a brief statement of the facts requiring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Notice to Allow Exercise by the Holder</w:t>
      </w:r>
      <w:r>
        <w:rPr>
          <w:rFonts w:ascii="Times New Roman" w:hAnsi="Times New Roman"/>
          <w:sz w:val="20"/>
        </w:rPr>
        <w:t xml:space="preserve">. After the Issue Date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(which, for the avoidance of doubt, shall not include a license or other agreement granting rights to intellectual property),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at least ten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hAnsi="Times New Roman"/>
          <w:sz w:val="20"/>
          <w:u w:val="single"/>
        </w:rPr>
        <w:t>provided</w:t>
      </w:r>
      <w:r>
        <w:rPr>
          <w:rFonts w:ascii="Times New Roman" w:hAnsi="Times New Roman"/>
          <w:sz w:val="20"/>
        </w:rPr>
        <w:t xml:space="preserve"> that the failure to mail such notice or any defect therein or in the mailing thereof shall not affect the validity of the corporate action required to be specified in such notice. To the extent that any notice provided hereunder constitutes, or contains, material, non-public information regarding the Company or any of its subsidiaries, the Company shall promptly file such notice with the SEC pursuant to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Notwithstanding the foregoing or anything else herein to the contrary, if the Company is for any reason unable to issue and deliver Warrant Shares upon exercise of this Warrant as required pursuant to the terms hereof, the Company shall have no obligation to pay to the Holder any cash or other consideration or otherwise “net cash settle” this Warrant.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Confidentiality</w:t>
      </w:r>
      <w:r>
        <w:rPr>
          <w:rFonts w:ascii="Times New Roman" w:hAnsi="Times New Roman"/>
          <w:sz w:val="20"/>
        </w:rPr>
        <w:t xml:space="preserve">. The Holder agrees to keep confidential any proprietary information relating to the Company delivered by the Company hereunder; provided that nothing herein shall prevent the Holder from disclosing such information: (i) to any holder of Warrants or Warrant Shares, (ii) to any Affiliate of any holder of Warrants or Warrant Shares or any actual or potential transferee of the rights or obligations hereunder that agrees to be bound by this Section 5(m), (iii) upon order, subpoena, or other process of any court or administrative agency or otherwise required by law, (iv) upon the request or demand of any regulatory agency or authority having jurisdiction over such party, (v) which has been publicly disclosed without breach of any obligation to the Company, (vi) which has been obtained from any Person that is not a party hereto or an Affiliate of any such party without any breach of any obligation to the Company, (vii) in connection with the exercise of any remedy, or the resolution of any dispute hereunder, (viii) to the legal counsel or certified public accountants for any holder of Warrants or Warrant Shares, or (ix) as otherwise expressly contemplated by this Warrant. Notwithstanding the foregoing, the Company shall not provide material, non-public information or confidential or proprietary information to the Holder without such Holder’s written consent. If the Company does provide material, non-public information or confidential or proprietary information to the Holder without such Holder’s written consent, the Company shall promptly file such information with the SEC pursuant to a Current Report on Form 8-K and the Holder shall not be subject to any duty of confidentiality contained herein with respect to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Dispute Resolution</w:t>
      </w:r>
      <w:r>
        <w:rPr>
          <w:rFonts w:ascii="Times New Roman" w:hAnsi="Times New Roman"/>
          <w:sz w:val="20"/>
        </w:rPr>
        <w:t xml:space="preserve">. In the case of a dispute as to the determination of the Exercise Price or the arithmetic calculation of the Warrant Shares, the Company shall submit the disputed determinations or arithmetic calculations via email within two (2)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(2) Business Days submit via email (i) the disputed determination of the Exercise Price to an independent, reputable investment bank selected by the Company and approved by the Holder or (ii)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 The expenses of the investment bank and accountant will be borne by the Company unless the investment bank or accountant determines that the determination of the Exercise Price or the arithmetic calculation of the Warrant Shares by the Holder was incorrect, in which case the expenses of the investment bank and accountant will be borne by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Pre-Funded Common Stock Purchase Warrant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12"/>
        <w:gridCol w:w="109"/>
        <w:gridCol w:w="2961"/>
      </w:tblGrid>
      <w:tr>
        <w:trPr/>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BETA BIONICS, INC.</w:t>
            </w:r>
          </w:p>
        </w:tc>
      </w:tr>
      <w:tr>
        <w:trPr>
          <w:trHeight w:val="240" w:hRule="atLeast"/>
        </w:trPr>
        <w:tc>
          <w:tcPr>
            <w:tcW w:w="1012" w:type="dxa"/>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2961" w:type="dxa"/>
            <w:tcBorders>
              <w:bottom w:val="single" w:sz="2" w:space="0" w:color="000000"/>
            </w:tcBorders>
            <w:tcMar>
              <w:bottom w:w="28" w:type="dxa"/>
            </w:tcMar>
          </w:tcPr>
          <w:p>
            <w:pPr>
              <w:pStyle w:val="TableContents"/>
              <w:bidi w:val="0"/>
              <w:spacing w:before="0" w:after="283"/>
              <w:jc w:val="left"/>
              <w:rPr/>
            </w:pPr>
            <w:r>
              <w:rPr/>
              <w:t> </w:t>
            </w:r>
          </w:p>
        </w:tc>
      </w:tr>
      <w:tr>
        <w:trPr/>
        <w:tc>
          <w:tcPr>
            <w:tcW w:w="10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9"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left"/>
              <w:rPr>
                <w:sz w:val="4"/>
                <w:szCs w:val="4"/>
              </w:rPr>
            </w:pPr>
            <w:r>
              <w:rPr>
                <w:sz w:val="4"/>
                <w:szCs w:val="4"/>
              </w:rPr>
            </w:r>
          </w:p>
        </w:tc>
      </w:tr>
      <w:tr>
        <w:trPr/>
        <w:tc>
          <w:tcPr>
            <w:tcW w:w="10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9"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TO: BETA BIONICS, INC. </w:t>
      </w:r>
    </w:p>
    <w:p>
      <w:pPr>
        <w:pStyle w:val="TextBody"/>
        <w:bidi w:val="0"/>
        <w:spacing w:before="240" w:after="0"/>
        <w:jc w:val="left"/>
        <w:rPr>
          <w:rFonts w:ascii="Times New Roman" w:hAnsi="Times New Roman"/>
          <w:sz w:val="20"/>
        </w:rPr>
      </w:pPr>
      <w:r>
        <w:rPr>
          <w:rFonts w:ascii="Times New Roman" w:hAnsi="Times New Roman"/>
          <w:sz w:val="20"/>
        </w:rPr>
        <w:t>(1) The undersigned holder of Warrant No. PF-</w:t>
      </w:r>
      <w:r>
        <w:rPr>
          <w:rFonts w:ascii="Times New Roman" w:hAnsi="Times New Roman"/>
          <w:sz w:val="20"/>
          <w:u w:val="single"/>
        </w:rPr>
        <w:t>    </w:t>
      </w:r>
      <w:r>
        <w:rPr>
          <w:rFonts w:ascii="Times New Roman" w:hAnsi="Times New Roman"/>
          <w:sz w:val="20"/>
        </w:rPr>
        <w:t xml:space="preserve"> hereby elects to purchase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pPr>
      <w:r>
        <w:rPr/>
        <w:t xml:space="preserve">☐ </w:t>
      </w:r>
      <w:r>
        <w:rPr>
          <w:rFonts w:ascii="Times New Roman" w:hAnsi="Times New Roman"/>
          <w:sz w:val="20"/>
        </w:rPr>
        <w:t xml:space="preserve">Cash Exercise: lawful money of the United States; or </w:t>
      </w:r>
    </w:p>
    <w:p>
      <w:pPr>
        <w:pStyle w:val="TextBody"/>
        <w:bidi w:val="0"/>
        <w:spacing w:before="120" w:after="0"/>
        <w:jc w:val="left"/>
        <w:rPr/>
      </w:pPr>
      <w:r>
        <w:rPr/>
        <w:t xml:space="preserve">☐ </w:t>
      </w:r>
      <w:r>
        <w:rPr>
          <w:rFonts w:ascii="Times New Roman" w:hAnsi="Times New Roman"/>
          <w:sz w:val="20"/>
        </w:rPr>
        <w:t xml:space="preserve">Cashless Exercise: the cancellation of such number of Warrant Shares as is necessary, in accordance with the formula set forth in Section 2(d), to exercise this Warrant with respect to the maximum number of Warrant Shares purchasable pursuant to the cashless exercise procedure set forth in Section 2(d).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928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(4) 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or by physical delivery of a certificate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9288"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9288"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928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8"/>
        <w:gridCol w:w="102"/>
        <w:gridCol w:w="7655"/>
      </w:tblGrid>
      <w:tr>
        <w:trPr/>
        <w:tc>
          <w:tcPr>
            <w:tcW w:w="244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655" w:type="dxa"/>
            <w:tcBorders/>
            <w:vAlign w:val="center"/>
          </w:tcPr>
          <w:p>
            <w:pPr>
              <w:pStyle w:val="TableContents"/>
              <w:bidi w:val="0"/>
              <w:spacing w:before="0" w:after="283"/>
              <w:jc w:val="left"/>
              <w:rPr>
                <w:sz w:val="4"/>
                <w:szCs w:val="4"/>
              </w:rPr>
            </w:pPr>
            <w:r>
              <w:rPr>
                <w:sz w:val="4"/>
                <w:szCs w:val="4"/>
              </w:rPr>
            </w:r>
          </w:p>
        </w:tc>
      </w:tr>
      <w:tr>
        <w:trPr/>
        <w:tc>
          <w:tcPr>
            <w:tcW w:w="2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of Investing Entity: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765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Signature of Authorized</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765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Signatory of Investing Entity:</w:t>
            </w:r>
          </w:p>
          <w:p>
            <w:pPr>
              <w:pStyle w:val="TableContents"/>
              <w:bidi w:val="0"/>
              <w:spacing w:before="0" w:after="20"/>
              <w:jc w:val="left"/>
              <w:rPr>
                <w:rFonts w:ascii="Times New Roman" w:hAnsi="Times New Roman"/>
                <w:sz w:val="20"/>
              </w:rPr>
            </w:pPr>
            <w:r>
              <w:rPr>
                <w:rFonts w:ascii="Times New Roman" w:hAnsi="Times New Roman"/>
                <w:sz w:val="20"/>
              </w:rPr>
              <w:t>Name of Authorized Signatory: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765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of Authorized Signatory: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7655" w:type="dxa"/>
            <w:tcBorders>
              <w:bottom w:val="single" w:sz="2" w:space="0" w:color="000000"/>
            </w:tcBorders>
            <w:tcMar>
              <w:bottom w:w="28" w:type="dxa"/>
            </w:tcMar>
            <w:vAlign w:val="bottom"/>
          </w:tcPr>
          <w:p>
            <w:pPr>
              <w:pStyle w:val="TableContents"/>
              <w:bidi w:val="0"/>
              <w:spacing w:before="0" w:after="283"/>
              <w:jc w:val="left"/>
              <w:rPr/>
            </w:pPr>
            <w:r>
              <w:rPr/>
              <w:t> </w:t>
            </w:r>
          </w:p>
        </w:tc>
      </w:tr>
    </w:tbl>
    <w:tbl>
      <w:tblPr>
        <w:tblW w:w="5000" w:type="pct"/>
        <w:jc w:val="center"/>
        <w:tblInd w:w="0" w:type="dxa"/>
        <w:tblLayout w:type="fixed"/>
        <w:tblCellMar>
          <w:top w:w="0" w:type="dxa"/>
          <w:left w:w="0" w:type="dxa"/>
          <w:bottom w:w="0" w:type="dxa"/>
          <w:right w:w="0" w:type="dxa"/>
        </w:tblCellMar>
      </w:tblPr>
      <w:tblGrid>
        <w:gridCol w:w="410"/>
        <w:gridCol w:w="102"/>
        <w:gridCol w:w="9693"/>
      </w:tblGrid>
      <w:tr>
        <w:trPr/>
        <w:tc>
          <w:tcPr>
            <w:tcW w:w="4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693"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9693"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120" w:after="0"/>
        <w:jc w:val="center"/>
        <w:rPr>
          <w:rFonts w:ascii="Times New Roman" w:hAnsi="Times New Roman"/>
          <w:sz w:val="20"/>
        </w:rPr>
      </w:pPr>
      <w:r>
        <w:rPr>
          <w:rFonts w:ascii="Times New Roman" w:hAnsi="Times New Roman"/>
          <w:sz w:val="20"/>
        </w:rPr>
        <w:t xml:space="preserve">(To assign the foregoing warrant, execute </w:t>
      </w:r>
    </w:p>
    <w:p>
      <w:pPr>
        <w:pStyle w:val="TextBody"/>
        <w:bidi w:val="0"/>
        <w:spacing w:before="0" w:after="0"/>
        <w:jc w:val="center"/>
        <w:rPr>
          <w:rFonts w:ascii="Times New Roman" w:hAnsi="Times New Roman"/>
          <w:sz w:val="20"/>
        </w:rPr>
      </w:pPr>
      <w:r>
        <w:rPr>
          <w:rFonts w:ascii="Times New Roman" w:hAnsi="Times New Roman"/>
          <w:sz w:val="20"/>
        </w:rPr>
        <w:t xml:space="preserve">this form and supply required information. </w:t>
      </w:r>
    </w:p>
    <w:p>
      <w:pPr>
        <w:pStyle w:val="TextBody"/>
        <w:bidi w:val="0"/>
        <w:spacing w:before="0" w:after="0"/>
        <w:jc w:val="center"/>
        <w:rPr>
          <w:rFonts w:ascii="Times New Roman" w:hAnsi="Times New Roman"/>
          <w:sz w:val="20"/>
        </w:rPr>
      </w:pPr>
      <w:r>
        <w:rPr>
          <w:rFonts w:ascii="Times New Roman" w:hAnsi="Times New Roman"/>
          <w:sz w:val="20"/>
        </w:rPr>
        <w:t xml:space="preserve">Do not use this form to exercise the warrant.)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[  ] all of or [  ] shares of the foregoing Warrant and all rights evidenced thereby are hereby assigned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u w:val="single"/>
              </w:rPr>
              <w:t xml:space="preserve">                                           </w:t>
            </w:r>
            <w:r>
              <w:rPr/>
              <w:t xml:space="preserve">   </w:t>
            </w:r>
            <w:r>
              <w:rPr>
                <w:rFonts w:ascii="Times New Roman" w:hAnsi="Times New Roman"/>
                <w:sz w:val="20"/>
              </w:rPr>
              <w:t>whose address is</w:t>
            </w:r>
          </w:p>
        </w:tc>
      </w:tr>
      <w:tr>
        <w:trPr>
          <w:trHeight w:val="6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u w:val="single"/>
              </w:rPr>
              <w:t xml:space="preserve">                                           </w:t>
            </w:r>
            <w:r>
              <w:rPr/>
              <w:t> </w:t>
            </w:r>
            <w:r>
              <w:rPr>
                <w:rFonts w:ascii="Times New Roman" w:hAnsi="Times New Roman"/>
                <w:sz w:val="20"/>
              </w:rPr>
              <w:t>.</w:t>
            </w:r>
          </w:p>
        </w:tc>
      </w:tr>
      <w:tr>
        <w:trPr>
          <w:trHeight w:val="6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u w:val="single"/>
              </w:rPr>
            </w:pPr>
            <w:r>
              <w:rPr>
                <w:u w:val="single"/>
              </w:rPr>
              <w:t xml:space="preserve">                                           </w:t>
            </w:r>
          </w:p>
        </w:tc>
      </w:tr>
    </w:tbl>
    <w:tbl>
      <w:tblPr>
        <w:tblW w:w="5000" w:type="pct"/>
        <w:jc w:val="center"/>
        <w:tblInd w:w="0" w:type="dxa"/>
        <w:tblLayout w:type="fixed"/>
        <w:tblCellMar>
          <w:top w:w="0" w:type="dxa"/>
          <w:left w:w="0" w:type="dxa"/>
          <w:bottom w:w="0" w:type="dxa"/>
          <w:right w:w="0" w:type="dxa"/>
        </w:tblCellMar>
      </w:tblPr>
      <w:tblGrid>
        <w:gridCol w:w="2548"/>
        <w:gridCol w:w="101"/>
        <w:gridCol w:w="1535"/>
        <w:gridCol w:w="101"/>
        <w:gridCol w:w="2450"/>
        <w:gridCol w:w="101"/>
        <w:gridCol w:w="3369"/>
      </w:tblGrid>
      <w:tr>
        <w:trPr/>
        <w:tc>
          <w:tcPr>
            <w:tcW w:w="25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254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pPr>
            <w:r>
              <w:rPr/>
              <w:t>Dated:   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left"/>
              <w:rPr>
                <w:sz w:val="4"/>
                <w:szCs w:val="4"/>
              </w:rPr>
            </w:pPr>
            <w:r>
              <w:rPr>
                <w:sz w:val="4"/>
                <w:szCs w:val="4"/>
              </w:rPr>
            </w:r>
          </w:p>
        </w:tc>
      </w:tr>
      <w:tr>
        <w:trPr/>
        <w:tc>
          <w:tcPr>
            <w:tcW w:w="254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Holder’s Signature: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24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548" w:type="dxa"/>
            <w:tcBorders/>
            <w:vAlign w:val="center"/>
          </w:tcPr>
          <w:p>
            <w:pPr>
              <w:pStyle w:val="TableContents"/>
              <w:bidi w:val="0"/>
              <w:spacing w:before="0" w:after="283"/>
              <w:jc w:val="left"/>
              <w:rPr>
                <w:sz w:val="4"/>
                <w:szCs w:val="4"/>
              </w:rPr>
            </w:pPr>
            <w:r>
              <w:rPr>
                <w:sz w:val="4"/>
                <w:szCs w:val="4"/>
              </w:rPr>
            </w:r>
          </w:p>
        </w:tc>
        <w:tc>
          <w:tcPr>
            <w:tcW w:w="163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54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Holder’s Address: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24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548" w:type="dxa"/>
            <w:tcBorders/>
            <w:vAlign w:val="center"/>
          </w:tcPr>
          <w:p>
            <w:pPr>
              <w:pStyle w:val="TableContents"/>
              <w:bidi w:val="0"/>
              <w:spacing w:before="0" w:after="283"/>
              <w:jc w:val="left"/>
              <w:rPr>
                <w:sz w:val="4"/>
                <w:szCs w:val="4"/>
              </w:rPr>
            </w:pPr>
            <w:r>
              <w:rPr>
                <w:sz w:val="4"/>
                <w:szCs w:val="4"/>
              </w:rPr>
            </w:r>
          </w:p>
        </w:tc>
        <w:tc>
          <w:tcPr>
            <w:tcW w:w="163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54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24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The signature to this Assignment Form must correspond with the name as it appears on the face of the Warrant, without alteration or enlargement or any change whatsoever.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  ],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PIPER SANDLER &amp; CO.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pPr>
      <w:r>
        <w:rPr/>
        <w:t> </w:t>
      </w:r>
      <w:r>
        <w:rPr>
          <w:rFonts w:ascii="Times New Roman" w:hAnsi="Times New Roman"/>
          <w:sz w:val="20"/>
        </w:rPr>
        <w:t xml:space="preserve">several Underwriters listed </w:t>
      </w:r>
    </w:p>
    <w:p>
      <w:pPr>
        <w:pStyle w:val="TextBody"/>
        <w:bidi w:val="0"/>
        <w:spacing w:before="0" w:after="0"/>
        <w:jc w:val="left"/>
        <w:rPr/>
      </w:pPr>
      <w:r>
        <w:rPr/>
        <w:t> </w:t>
      </w:r>
      <w:r>
        <w:rPr>
          <w:rFonts w:ascii="Times New Roman" w:hAnsi="Times New Roman"/>
          <w:sz w:val="20"/>
        </w:rPr>
        <w:t xml:space="preserve">in Schedule 1 to the Underwriting </w:t>
      </w:r>
    </w:p>
    <w:p>
      <w:pPr>
        <w:pStyle w:val="TextBody"/>
        <w:bidi w:val="0"/>
        <w:spacing w:before="0" w:after="0"/>
        <w:jc w:val="left"/>
        <w:rPr/>
      </w:pPr>
      <w:r>
        <w:rPr/>
        <w:t> </w:t>
      </w:r>
      <w:r>
        <w:rPr>
          <w:rFonts w:ascii="Times New Roman" w:hAnsi="Times New Roman"/>
          <w:sz w:val="20"/>
        </w:rPr>
        <w:t xml:space="preserve">Agreement 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Piper Sandler &amp; Co. </w:t>
      </w:r>
    </w:p>
    <w:p>
      <w:pPr>
        <w:pStyle w:val="TextBody"/>
        <w:bidi w:val="0"/>
        <w:spacing w:before="0" w:after="0"/>
        <w:jc w:val="left"/>
        <w:rPr>
          <w:rFonts w:ascii="Times New Roman" w:hAnsi="Times New Roman"/>
          <w:sz w:val="20"/>
        </w:rPr>
      </w:pPr>
      <w:r>
        <w:rPr>
          <w:rFonts w:ascii="Times New Roman" w:hAnsi="Times New Roman"/>
          <w:sz w:val="20"/>
        </w:rPr>
        <w:t xml:space="preserve">350 North 5th Street, Suite 1000 </w:t>
      </w:r>
    </w:p>
    <w:p>
      <w:pPr>
        <w:pStyle w:val="TextBody"/>
        <w:bidi w:val="0"/>
        <w:spacing w:before="0" w:after="0"/>
        <w:jc w:val="left"/>
        <w:rPr>
          <w:rFonts w:ascii="Times New Roman" w:hAnsi="Times New Roman"/>
          <w:sz w:val="20"/>
        </w:rPr>
      </w:pPr>
      <w:r>
        <w:rPr>
          <w:rFonts w:ascii="Times New Roman" w:hAnsi="Times New Roman"/>
          <w:sz w:val="20"/>
        </w:rPr>
        <w:t xml:space="preserve">Minneapolis, Minnesota 55401 </w:t>
      </w:r>
    </w:p>
    <w:p>
      <w:pPr>
        <w:pStyle w:val="TextBody"/>
        <w:bidi w:val="0"/>
        <w:spacing w:before="240" w:after="0"/>
        <w:jc w:val="left"/>
        <w:rPr>
          <w:rFonts w:ascii="Times New Roman" w:hAnsi="Times New Roman"/>
          <w:sz w:val="20"/>
        </w:rPr>
      </w:pPr>
      <w:r>
        <w:rPr>
          <w:rFonts w:ascii="Times New Roman" w:hAnsi="Times New Roman"/>
          <w:sz w:val="20"/>
        </w:rPr>
        <w:t xml:space="preserve">c/o 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500 West 33rd Street, 14th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center"/>
        <w:rPr>
          <w:rFonts w:ascii="Times New Roman" w:hAnsi="Times New Roman"/>
          <w:sz w:val="20"/>
        </w:rPr>
      </w:pPr>
      <w:r>
        <w:rPr>
          <w:rFonts w:ascii="Times New Roman" w:hAnsi="Times New Roman"/>
          <w:sz w:val="20"/>
        </w:rPr>
        <w:t xml:space="preserve">Re:  Beta Bionics, Inc. —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you, as Representatives of the several Underwriters, propose to enter into an underwriting agreement (the “Underwriting Agreement”) with Beta Bionics, Inc., a Delaware corporation (the “Company”), providing for the public offering (the “Public Offering”) by the several Underwriters named in Schedule 1 to the Underwriting Agreement (the “Underwriters”), of common stock, par value $0.0001 per share (the “Common Stock”), of the Company, which may include pre-funded warrants to purchase shares of Common Stock (the “Pre-Funded Warrants” and, together with the shares of Common Stock to be sold in the Public Offering, the “Securities”). Capitalized terms used herein and not otherwise defined shall have the meanings set forth in the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and Piper Sandler &amp; Co. on behalf of the Underwriters, the undersigned will not, and will not cause any direct or indirect affiliate to, during the period beginning on the date of this letter agreement (this “Letter Agreement”) and ending at the close of business 60 days after the date of the final prospectus supplement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U.S. Securities and Exchange Commission (the “Commission”) and securities which may be issued upon exercise of a stock option or warrant) (collectively with the Common Stock,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w:t>
      </w:r>
    </w:p>
    <w:p>
      <w:pPr>
        <w:pStyle w:val="TextBody"/>
        <w:bidi w:val="0"/>
        <w:spacing w:before="120" w:after="0"/>
        <w:jc w:val="left"/>
        <w:rPr>
          <w:rFonts w:ascii="Times New Roman" w:hAnsi="Times New Roman"/>
          <w:sz w:val="20"/>
        </w:rPr>
      </w:pPr>
      <w:r>
        <w:rPr>
          <w:rFonts w:ascii="Times New Roman" w:hAnsi="Times New Roman"/>
          <w:sz w:val="20"/>
        </w:rPr>
        <w:t xml:space="preserve">(a) transfer the undersigned’s Lock-Up Securities: </w:t>
      </w:r>
    </w:p>
    <w:p>
      <w:pPr>
        <w:pStyle w:val="TextBody"/>
        <w:bidi w:val="0"/>
        <w:spacing w:before="120" w:after="0"/>
        <w:jc w:val="left"/>
        <w:rPr>
          <w:rFonts w:ascii="Times New Roman" w:hAnsi="Times New Roman"/>
          <w:sz w:val="20"/>
        </w:rPr>
      </w:pPr>
      <w:r>
        <w:rPr>
          <w:rFonts w:ascii="Times New Roman" w:hAnsi="Times New Roman"/>
          <w:sz w:val="20"/>
        </w:rPr>
        <w:t xml:space="preserve">(i) as a bona fide gift or gifts, including, without limitation, to a charitable organization or educational institution, or for bona fide estate planning purposes, </w:t>
      </w:r>
    </w:p>
    <w:p>
      <w:pPr>
        <w:pStyle w:val="TextBody"/>
        <w:bidi w:val="0"/>
        <w:spacing w:before="120" w:after="0"/>
        <w:jc w:val="left"/>
        <w:rPr>
          <w:rFonts w:ascii="Times New Roman" w:hAnsi="Times New Roman"/>
          <w:sz w:val="20"/>
        </w:rPr>
      </w:pPr>
      <w:r>
        <w:rPr>
          <w:rFonts w:ascii="Times New Roman" w:hAnsi="Times New Roman"/>
          <w:sz w:val="20"/>
        </w:rPr>
        <w:t xml:space="preserve">(ii) by will, testamentary document or intestate succession to the legal representative, heir, beneficiary or a member of the immediate family of the undersigned (for purposes of this Letter Agreement, “immediate family” of the undersigned shall mean any relationship by blood, marriage, domestic partnership or adoption, not more remote than first cousin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(iii) by operation of law, such as pursuant to a qualified domestic order, divorce settlement, divorce decree or separation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(iv) pursuant to an order of a court or regulatory agency having jurisdiction over the undersigned,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to any corporation, partnership, limited liability company or other entity of which the undersigned or the immediate family of the undersigned are the legal and beneficial owner of all of the outstanding equity securities or similar interests, </w:t>
      </w:r>
    </w:p>
    <w:p>
      <w:pPr>
        <w:pStyle w:val="TextBody"/>
        <w:bidi w:val="0"/>
        <w:spacing w:before="120" w:after="0"/>
        <w:jc w:val="left"/>
        <w:rPr>
          <w:rFonts w:ascii="Times New Roman" w:hAnsi="Times New Roman"/>
          <w:sz w:val="20"/>
        </w:rPr>
      </w:pPr>
      <w:r>
        <w:rPr>
          <w:rFonts w:ascii="Times New Roman" w:hAnsi="Times New Roman"/>
          <w:sz w:val="20"/>
        </w:rPr>
        <w:t xml:space="preserve">(vi) to a nominee or custodian of a person or entity to whom a disposition or transfer would be permissible under clauses (i) through (v) above, </w:t>
      </w:r>
    </w:p>
    <w:p>
      <w:pPr>
        <w:pStyle w:val="TextBody"/>
        <w:bidi w:val="0"/>
        <w:spacing w:before="120" w:after="0"/>
        <w:jc w:val="left"/>
        <w:rPr>
          <w:rFonts w:ascii="Times New Roman" w:hAnsi="Times New Roman"/>
          <w:sz w:val="20"/>
        </w:rPr>
      </w:pPr>
      <w:r>
        <w:rPr>
          <w:rFonts w:ascii="Times New Roman" w:hAnsi="Times New Roman"/>
          <w:sz w:val="20"/>
        </w:rPr>
        <w:t xml:space="preserve">(vii) to any immediate family member or any trust, partnership, limited liability company or other entity for the direct or indirect benefit of the undersigned or one or more immediate family members of the undersigned, or if the undersigned is a trust, to a trustor or beneficiary of the trust or to the estate of a beneficiary of such trust, </w:t>
      </w:r>
    </w:p>
    <w:p>
      <w:pPr>
        <w:pStyle w:val="TextBody"/>
        <w:bidi w:val="0"/>
        <w:spacing w:before="120" w:after="0"/>
        <w:jc w:val="left"/>
        <w:rPr>
          <w:rFonts w:ascii="Times New Roman" w:hAnsi="Times New Roman"/>
          <w:sz w:val="20"/>
        </w:rPr>
      </w:pPr>
      <w:r>
        <w:rPr>
          <w:rFonts w:ascii="Times New Roman" w:hAnsi="Times New Roman"/>
          <w:sz w:val="20"/>
        </w:rPr>
        <w:t xml:space="preserve">(viii)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limited partners, limited liability company members, managers, equityholders or stockholders of the undersigned or holders of similar equity interests in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(ix) to the Company (A) upon the undersigned’s death, disability or termination of employment or other service relationship with the Company, provided that such Common Stock were issued to the undersigned pursuant to an agreement or equity award granted pursuant to an employee benefit plan, option, warrant or other right disclosed in the Prospectus, or (B) pursuant to agreements under which the Company has the option to repurchase shares, </w:t>
      </w:r>
    </w:p>
    <w:p>
      <w:pPr>
        <w:pStyle w:val="TextBody"/>
        <w:bidi w:val="0"/>
        <w:spacing w:before="120" w:after="0"/>
        <w:jc w:val="left"/>
        <w:rPr>
          <w:rFonts w:ascii="Times New Roman" w:hAnsi="Times New Roman"/>
          <w:sz w:val="20"/>
        </w:rPr>
      </w:pPr>
      <w:r>
        <w:rPr>
          <w:rFonts w:ascii="Times New Roman" w:hAnsi="Times New Roman"/>
          <w:sz w:val="20"/>
        </w:rPr>
        <w:t xml:space="preserve">(x) as part of a sale of Common Stock of the Company or shares of Common Stock underlying Pre-Funded Warrants purchased by the undersigned in the Public Offering or on the open market following the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(xi) to the Company pursuant to the vesting, settlement or exercise of restricted stock units, restricted stock, options, warrants or other rights to purchase Common Stock (including, in each case, by way of “net” or “cashless” exercise), including for the payment of exercise price and tax and remittance payments due as a result of the vesting, settlement or exercise of such restricted stock units, restricted stock, options, warrants or rights, provided that any such shares of Common Stock received upon such exercise, vesting or settlement shall be subject to the terms of this Letter Agreement, or in connection with sales of Common Stock pursuant to a “sell-to-cover” arrangement upon the vesting, settlement or exercise of restricted stock units, restricted stock, options, warrants or other rights to purchase Common Stock solely to cover the exercise price or tax withholding obligations in connection with such transaction, and provided further that any such restricted stock units, restricted stock, options, warrants or rights are held by the undersigned pursuant to an agreement or equity award granted under a stock incentive plan or other equity award plan, each of which is disclosed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pursuant to a bona fide third party tender offer, merger, consolidation or other similar transaction, in one transaction or a series of related transactions, made to all holders of Common Stock that has been approved by the Company’s board of directors, which results in any person or group of persons becoming the beneficial owners (as defined in Rules 13d-3 and 13d-5 of the Securities Exchange Act of 1934, as amended (the “Exchange Act”)) of 50% of the outstanding voting securities of the Company (or the surviving entity); provided that in the event that the tender offer, merger, consolidation or other such transaction is not completed, the Lock-Up Securities shall remain subject to the provisions of this Letter Agreement, or </w:t>
      </w:r>
    </w:p>
    <w:p>
      <w:pPr>
        <w:pStyle w:val="TextBody"/>
        <w:bidi w:val="0"/>
        <w:spacing w:before="120" w:after="0"/>
        <w:jc w:val="left"/>
        <w:rPr>
          <w:rFonts w:ascii="Times New Roman" w:hAnsi="Times New Roman"/>
          <w:sz w:val="20"/>
        </w:rPr>
      </w:pPr>
      <w:r>
        <w:rPr>
          <w:rFonts w:ascii="Times New Roman" w:hAnsi="Times New Roman"/>
          <w:sz w:val="20"/>
        </w:rPr>
        <w:t xml:space="preserve">(xiii) pursuant to a 10b5-1 Trading Plan (as defined below) that is existing on the date hereof which has been provided to the Underwriters or its legal counsel, provided that, to the extent a public announcement or filing under the Exchange Act, if any, is required by or on behalf of the undersigned or the Company regarding such transfer during the Restricted Period, such announcement or filing shall include the date that the trading plan was entered into and a statement that such transfer is in accordance with an established 10b5-1 Trading Plan, and provided further that the existing 10b5-1 Trading Plan may not be amended during the Restricted Period to allow for an increase in the number of Lock-Up Securities that may be sold pursuant to such existing 10b5-1 Trading Plan;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 the Representatives receive a signed lock-up agreement in the form of this Letter Agreement for the balance of the Restricted Period from each donee, devisee, trustee, distributee, or transferee, as the case may be, (B) any such transfer shall not involve a disposition for value, (C) such transfers are not required to be reported during the Restricted Period with the Commission on Form 4 or Form 5 in accordance with Section 16(a) of the Exchange Act, or, in the case of clause (i), (ii), (iii), (iv) and (xi), any such required filing shall clearly indicate in the footnotes thereto that the filing relates to circumstances described in such a clause, and (D) the undersigned does not otherwise voluntarily effect any public filing or report regarding such transfers during the Restricted Period; and </w:t>
      </w:r>
    </w:p>
    <w:p>
      <w:pPr>
        <w:pStyle w:val="TextBody"/>
        <w:bidi w:val="0"/>
        <w:spacing w:before="240" w:after="0"/>
        <w:jc w:val="left"/>
        <w:rPr>
          <w:rFonts w:ascii="Times New Roman" w:hAnsi="Times New Roman"/>
          <w:sz w:val="20"/>
        </w:rPr>
      </w:pPr>
      <w:r>
        <w:rPr>
          <w:rFonts w:ascii="Times New Roman" w:hAnsi="Times New Roman"/>
          <w:sz w:val="20"/>
        </w:rPr>
        <w:t xml:space="preserve">(b) establish trading plans that comply with Rule 10b5-1 under the Exchange Act (a “10b5-1 Trading Plan”) for the transfer of Lock-Up Securities, so long as there are no sales of Lock-Up Securities under such plan during the Restricted Period; and provided that the establishment of a 10b5-1 Trading Plan providing for sales of Lock-Up Securities shall only be permitted if any public announcement or filing under the Exchange Act, if required or voluntarily made by or on behalf of the undersigned or the Company regarding the establishment of such plan, shall include a statement to the effect that no transfer of Lock-Up Securities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any duly appointed transfer agent for the registration or transfer of the Lock-Up Securities, are hereby authorized to decline to make any transfer of Lock-Up Securities if such transfer would constitute a violation or breach of this Letter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Letter Agreement, and nothing set forth in such disclosures is intended to suggest that the Representatives or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Underwriting Agreement does not become effective by September 30, 2026, or if the Underwriting Agreement (other than the provisions thereof which survive termination) shall terminate or be terminated prior to payment for and delivery of the Securities to be sold thereunder, the undersigned shall be released from all obligations under this Letter Agreement. The undersigned understands that the Underwriters are entering into the Underwriting Agreement and proceeding with the Public Offering in reliance upon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and any claim, controversy or dispute arising under or related to this Letter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57"/>
        <w:gridCol w:w="97"/>
        <w:gridCol w:w="3428"/>
      </w:tblGrid>
      <w:tr>
        <w:trPr/>
        <w:tc>
          <w:tcPr>
            <w:tcW w:w="557"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34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NAME OF STOCKHOLDER</w:t>
            </w:r>
            <w:r>
              <w:rPr>
                <w:rFonts w:ascii="Times New Roman" w:hAnsi="Times New Roman"/>
                <w:sz w:val="20"/>
              </w:rPr>
              <w:t>]</w:t>
            </w:r>
          </w:p>
        </w:tc>
      </w:tr>
      <w:tr>
        <w:trPr>
          <w:trHeight w:val="240" w:hRule="atLeast"/>
        </w:trPr>
        <w:tc>
          <w:tcPr>
            <w:tcW w:w="557" w:type="dxa"/>
            <w:tcBorders/>
            <w:vAlign w:val="center"/>
          </w:tcPr>
          <w:p>
            <w:pPr>
              <w:pStyle w:val="TableContents"/>
              <w:bidi w:val="0"/>
              <w:spacing w:before="0" w:after="283"/>
              <w:jc w:val="left"/>
              <w:rPr>
                <w:sz w:val="4"/>
                <w:szCs w:val="4"/>
              </w:rPr>
            </w:pPr>
            <w:r>
              <w:rPr>
                <w:sz w:val="4"/>
                <w:szCs w:val="4"/>
              </w:rPr>
            </w:r>
          </w:p>
        </w:tc>
        <w:tc>
          <w:tcPr>
            <w:tcW w:w="3525" w:type="dxa"/>
            <w:gridSpan w:val="2"/>
            <w:tcBorders/>
            <w:vAlign w:val="center"/>
          </w:tcPr>
          <w:p>
            <w:pPr>
              <w:pStyle w:val="TableContents"/>
              <w:bidi w:val="0"/>
              <w:spacing w:before="0" w:after="283"/>
              <w:jc w:val="left"/>
              <w:rPr>
                <w:sz w:val="4"/>
                <w:szCs w:val="4"/>
              </w:rPr>
            </w:pPr>
            <w:r>
              <w:rPr>
                <w:sz w:val="4"/>
                <w:szCs w:val="4"/>
              </w:rPr>
            </w:r>
          </w:p>
        </w:tc>
      </w:tr>
      <w:tr>
        <w:trPr/>
        <w:tc>
          <w:tcPr>
            <w:tcW w:w="557"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3428" w:type="dxa"/>
            <w:tcBorders>
              <w:bottom w:val="single" w:sz="2" w:space="0" w:color="000000"/>
            </w:tcBorders>
            <w:tcMar>
              <w:bottom w:w="28" w:type="dxa"/>
            </w:tcMar>
          </w:tcPr>
          <w:p>
            <w:pPr>
              <w:pStyle w:val="TableContents"/>
              <w:bidi w:val="0"/>
              <w:spacing w:before="0" w:after="283"/>
              <w:jc w:val="left"/>
              <w:rPr/>
            </w:pPr>
            <w:r>
              <w:rPr/>
              <w:t> </w:t>
            </w:r>
          </w:p>
        </w:tc>
      </w:tr>
      <w:tr>
        <w:trPr/>
        <w:tc>
          <w:tcPr>
            <w:tcW w:w="557"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57"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right"/>
        <w:rPr>
          <w:rFonts w:ascii="Times New Roman" w:hAnsi="Times New Roman"/>
          <w:b/>
          <w:sz w:val="20"/>
        </w:rPr>
      </w:pPr>
      <w:bookmarkStart w:id="4" w:name="d178069dex41.htm"/>
      <w:bookmarkStart w:id="5" w:name="ksd178069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PRE-FUNDED COMMON STOCK PURCHASE WARRANT </w:t>
      </w:r>
    </w:p>
    <w:p>
      <w:pPr>
        <w:pStyle w:val="TextBody"/>
        <w:bidi w:val="0"/>
        <w:spacing w:before="0" w:after="0"/>
        <w:jc w:val="center"/>
        <w:rPr>
          <w:rFonts w:ascii="Times New Roman" w:hAnsi="Times New Roman"/>
          <w:b/>
          <w:sz w:val="20"/>
        </w:rPr>
      </w:pPr>
      <w:r>
        <w:rPr>
          <w:rFonts w:ascii="Times New Roman" w:hAnsi="Times New Roman"/>
          <w:b/>
          <w:sz w:val="20"/>
        </w:rPr>
        <w:t xml:space="preserve">BETA BIONICS, INC. </w:t>
      </w:r>
    </w:p>
    <w:p>
      <w:pPr>
        <w:pStyle w:val="TextBody"/>
        <w:bidi w:val="0"/>
        <w:spacing w:before="240" w:after="0"/>
        <w:jc w:val="left"/>
        <w:rPr>
          <w:rFonts w:ascii="Times New Roman" w:hAnsi="Times New Roman"/>
          <w:sz w:val="20"/>
        </w:rPr>
      </w:pPr>
      <w:r>
        <w:rPr>
          <w:rFonts w:ascii="Times New Roman" w:hAnsi="Times New Roman"/>
          <w:sz w:val="20"/>
        </w:rPr>
        <w:t xml:space="preserve">Warrant Shares: </w:t>
      </w:r>
    </w:p>
    <w:p>
      <w:pPr>
        <w:pStyle w:val="TextBody"/>
        <w:bidi w:val="0"/>
        <w:spacing w:before="0" w:after="0"/>
        <w:jc w:val="left"/>
        <w:rPr>
          <w:rFonts w:ascii="Times New Roman" w:hAnsi="Times New Roman"/>
          <w:sz w:val="20"/>
        </w:rPr>
      </w:pPr>
      <w:r>
        <w:rPr>
          <w:rFonts w:ascii="Times New Roman" w:hAnsi="Times New Roman"/>
          <w:sz w:val="20"/>
        </w:rPr>
        <w:t>Date of Issuance:          , 2026 (such date, the “</w:t>
      </w:r>
      <w:r>
        <w:rPr>
          <w:rFonts w:ascii="Times New Roman" w:hAnsi="Times New Roman"/>
          <w:sz w:val="20"/>
          <w:u w:val="single"/>
        </w:rPr>
        <w:t>Issue Date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Warrant No.: PF-[ ] </w:t>
      </w:r>
    </w:p>
    <w:p>
      <w:pPr>
        <w:pStyle w:val="TextBody"/>
        <w:bidi w:val="0"/>
        <w:spacing w:before="240" w:after="0"/>
        <w:jc w:val="left"/>
        <w:rPr>
          <w:rFonts w:ascii="Times New Roman" w:hAnsi="Times New Roman"/>
          <w:sz w:val="20"/>
        </w:rPr>
      </w:pPr>
      <w:r>
        <w:rPr>
          <w:rFonts w:ascii="Times New Roman" w:hAnsi="Times New Roman"/>
          <w:sz w:val="20"/>
        </w:rPr>
        <w:t>THIS PRE-FUNDED COMMON STOCK PURCHASE WARRANT (the “</w:t>
      </w:r>
      <w:r>
        <w:rPr>
          <w:rFonts w:ascii="Times New Roman" w:hAnsi="Times New Roman"/>
          <w:sz w:val="20"/>
          <w:u w:val="single"/>
        </w:rPr>
        <w:t>Warrant</w:t>
      </w:r>
      <w:r>
        <w:rPr>
          <w:rFonts w:ascii="Times New Roman" w:hAnsi="Times New Roman"/>
          <w:sz w:val="20"/>
        </w:rPr>
        <w:t>”) certifies that, for value received, the registered holder hereof or its permitted assigns (the “</w:t>
      </w:r>
      <w:r>
        <w:rPr>
          <w:rFonts w:ascii="Times New Roman" w:hAnsi="Times New Roman"/>
          <w:sz w:val="20"/>
          <w:u w:val="single"/>
        </w:rPr>
        <w:t>Holder</w:t>
      </w:r>
      <w:r>
        <w:rPr>
          <w:rFonts w:ascii="Times New Roman" w:hAnsi="Times New Roman"/>
          <w:sz w:val="20"/>
        </w:rPr>
        <w:t xml:space="preserve">”) is entitled, upon the terms and subject to the limitations on exercise and the conditions set forth herein, at any time on or after the Issue Date, to subscribe for and purchase from </w:t>
      </w:r>
      <w:r>
        <w:rPr>
          <w:rFonts w:ascii="Times New Roman" w:hAnsi="Times New Roman"/>
          <w:b/>
          <w:sz w:val="20"/>
        </w:rPr>
        <w:t>Beta Bionics,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up to    shares (the “</w:t>
      </w:r>
      <w:r>
        <w:rPr>
          <w:rFonts w:ascii="Times New Roman" w:hAnsi="Times New Roman"/>
          <w:sz w:val="20"/>
          <w:u w:val="single"/>
        </w:rPr>
        <w:t>Warrant Shares</w:t>
      </w:r>
      <w:r>
        <w:rPr>
          <w:rFonts w:ascii="Times New Roman" w:hAnsi="Times New Roman"/>
          <w:sz w:val="20"/>
        </w:rPr>
        <w:t>”) of the Company’s common stock, par value $0.0001 per share (“</w:t>
      </w:r>
      <w:r>
        <w:rPr>
          <w:rFonts w:ascii="Times New Roman" w:hAnsi="Times New Roman"/>
          <w:sz w:val="20"/>
          <w:u w:val="single"/>
        </w:rPr>
        <w:t>Common Stock</w:t>
      </w:r>
      <w:r>
        <w:rPr>
          <w:rFonts w:ascii="Times New Roman" w:hAnsi="Times New Roman"/>
          <w:sz w:val="20"/>
        </w:rPr>
        <w:t>”). The purchase price of one share of Common Stock under this Warrant shall be equal to the Exercise Price, as defined in Section 2(b). This Warrant has been issued pursuant to (i) the terms of the Underwriting Agreement, dated September 15, 2026, among the Company on the one hand and, on the other, J.P. Morgan Securities LLC, Piper Sandler &amp; Co., Wells Fargo Securities, LLC and Leerink Partners LLC, as representatives of the several underwriters named therein (the “</w:t>
      </w:r>
      <w:r>
        <w:rPr>
          <w:rFonts w:ascii="Times New Roman" w:hAnsi="Times New Roman"/>
          <w:sz w:val="20"/>
          <w:u w:val="single"/>
        </w:rPr>
        <w:t>Underwriting Agreement</w:t>
      </w:r>
      <w:r>
        <w:rPr>
          <w:rFonts w:ascii="Times New Roman" w:hAnsi="Times New Roman"/>
          <w:sz w:val="20"/>
        </w:rPr>
        <w:t>”), (ii) the Company’s registration statement on Form S-3 (Commission File No. 333-293702) (the “</w:t>
      </w:r>
      <w:r>
        <w:rPr>
          <w:rFonts w:ascii="Times New Roman" w:hAnsi="Times New Roman"/>
          <w:sz w:val="20"/>
          <w:u w:val="single"/>
        </w:rPr>
        <w:t>Registration Statement</w:t>
      </w:r>
      <w:r>
        <w:rPr>
          <w:rFonts w:ascii="Times New Roman" w:hAnsi="Times New Roman"/>
          <w:sz w:val="20"/>
        </w:rPr>
        <w:t>”) and (iii) the Company’s prospectus supplement dated as of September 15, 2026 (the “</w:t>
      </w:r>
      <w:r>
        <w:rPr>
          <w:rFonts w:ascii="Times New Roman" w:hAnsi="Times New Roman"/>
          <w:sz w:val="20"/>
          <w:u w:val="single"/>
        </w:rPr>
        <w:t>Prospectus Supplement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hAnsi="Times New Roman"/>
          <w:sz w:val="20"/>
          <w:u w:val="single"/>
        </w:rPr>
        <w:t>1933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Attribution Parties</w:t>
      </w:r>
      <w:r>
        <w:rPr>
          <w:rFonts w:ascii="Times New Roman" w:hAnsi="Times New Roman"/>
          <w:sz w:val="20"/>
        </w:rPr>
        <w:t>” means, collectively, the following Persons and entities: (i) any investment vehicle, including any funds, feeder funds or managed accounts, currently, or from time to time after the Issue Date, directly or indirectly managed or advised by the Holder’s investment manager, (ii) any direct or indirect Affiliates of the Holder or any of the foregoing, (iii) any Person acting or who could be deemed to be acting as a Group together with the Holder or any of the foregoing and (iv) any other Persons whose beneficial ownership of Common Stock would or could be aggregated with the Holder’s and the other Attribution Parties for purposes of Section 13(d) or Section 16 of the Securities Exchange Act of 1934, as amended (the “</w:t>
      </w:r>
      <w:r>
        <w:rPr>
          <w:rFonts w:ascii="Times New Roman" w:hAnsi="Times New Roman"/>
          <w:sz w:val="20"/>
          <w:u w:val="single"/>
        </w:rPr>
        <w:t>1934 Act</w:t>
      </w:r>
      <w:r>
        <w:rPr>
          <w:rFonts w:ascii="Times New Roman" w:hAnsi="Times New Roman"/>
          <w:sz w:val="20"/>
        </w:rPr>
        <w:t xml:space="preserve">”). For clarity, the purpose of the foregoing is to subject collectively the Holder and all other Attribution Parties to the Maximum Percentage (as defined in Section 2(e)).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Bloomberg</w:t>
      </w:r>
      <w:r>
        <w:rPr>
          <w:rFonts w:ascii="Times New Roman" w:hAnsi="Times New Roman"/>
          <w:sz w:val="20"/>
        </w:rPr>
        <w:t xml:space="preserve">” means Bloomberg Financial Markets.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Business Day</w:t>
      </w:r>
      <w:r>
        <w:rPr>
          <w:rFonts w:ascii="Times New Roman" w:hAnsi="Times New Roman"/>
          <w:sz w:val="20"/>
        </w:rPr>
        <w:t xml:space="preserve">” means any day except any Saturday, any Sunday, any day that is a federal legal holiday in the United States or any day on which banking institutions in the city of New York, New York are authorized or required by law or other governmental action to remain closed.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Group</w:t>
      </w:r>
      <w:r>
        <w:rPr>
          <w:rFonts w:ascii="Times New Roman" w:hAnsi="Times New Roman"/>
          <w:sz w:val="20"/>
        </w:rPr>
        <w:t xml:space="preserve">” means a “group” as that term is used in Section 13(d) of the 1934 Act and as defined in Rule 13d-5 thereunder.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Person</w:t>
      </w:r>
      <w:r>
        <w:rPr>
          <w:rFonts w:ascii="Times New Roman" w:hAnsi="Times New Roman"/>
          <w:sz w:val="20"/>
        </w:rPr>
        <w:t xml:space="preserve">” means an individual, a limited liability company, a partnership, a joint venture, a corporation, a trust, an unincorporated organization, any other entity and a government or any department or agency thereof.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for the Trading Market with respect to the Common Stock that is in effect on the date of delivery of an applicable Notice of Exercise, which as of the Issue Date was “T+1.”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Trading Day</w:t>
      </w:r>
      <w:r>
        <w:rPr>
          <w:rFonts w:ascii="Times New Roman" w:hAnsi="Times New Roman"/>
          <w:sz w:val="20"/>
        </w:rPr>
        <w:t xml:space="preserve">” means any day on which the Common Stock is traded on the Trading Market.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Trading Market</w:t>
      </w:r>
      <w:r>
        <w:rPr>
          <w:rFonts w:ascii="Times New Roman" w:hAnsi="Times New Roman"/>
          <w:sz w:val="20"/>
        </w:rPr>
        <w:t xml:space="preserve">” means the principal securities exchange or securities market, including an over-the-counter market, on which the Common Stock is then traded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sz w:val="20"/>
          <w:u w:val="single"/>
        </w:rPr>
        <w:t>Weighted Average Price</w:t>
      </w:r>
      <w:r>
        <w:rPr>
          <w:rFonts w:ascii="Times New Roman" w:hAnsi="Times New Roman"/>
          <w:sz w:val="20"/>
        </w:rPr>
        <w:t xml:space="preserve">” means, for any security as of any date, the dollar volume-weighted average price for such security on the Trading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published by OTC Markets Group, Inc. (or a similar organization or agency succeeding to its functions of reporting prices).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5(n) with the term “Weighted Average Price” being substituted for the term “Exercise Price.” All such determinations shall be appropriately adjusted for any stock dividend, stock split, stock combination or other similar transaction during such period. </w:t>
      </w:r>
    </w:p>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Warrant</w:t>
      </w:r>
      <w:r>
        <w:rPr>
          <w:rFonts w:ascii="Times New Roman" w:hAnsi="Times New Roman"/>
          <w:sz w:val="20"/>
        </w:rPr>
        <w:t>. Subject to the terms and conditions hereof, the purchase rights represented by this Warrant may be exercised, in whole or in part, at any time or times on or after the Issue Date by delivery (whether via email or otherwise) to the Company (or such other office or agency of the Company as it may designate by notice in writing to the registered Holder at the address of the Holder appearing on the books of the Company) of a duly executed copy of the Notice of Exercise form annexed hereto (the “</w:t>
      </w:r>
      <w:r>
        <w:rPr>
          <w:rFonts w:ascii="Times New Roman" w:hAnsi="Times New Roman"/>
          <w:sz w:val="20"/>
          <w:u w:val="single"/>
        </w:rPr>
        <w:t>Notice of Exercise</w:t>
      </w:r>
      <w:r>
        <w:rPr>
          <w:rFonts w:ascii="Times New Roman" w:hAnsi="Times New Roman"/>
          <w:sz w:val="20"/>
        </w:rPr>
        <w:t xml:space="preserve">”) and by payment to the Company of an amount equal to the aggregate Exercise Price of the Warrant Shares thereby purchased by wire transfer (or by notifying the Company that this Warrant is being exercised pursuant to a Cashless Exercise (as defined below)). No ink-original Notice of Exercise shall be required, nor shall any medallion guarantee (or other type of guarantee or notarization) of any Notice of Exercise form be required.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hAnsi="Times New Roman"/>
          <w:b/>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The aggregate exercise price of this Warrant, except for a nominal exercise price of $0.0001 per Warrant Share (subject to adjustment as provided herein), was pre-funded to the Company on or prior to the Issue Date and, consequently, no additional consideration (other than such nominal exercise price) shall be required to be paid by the Holder to effect any exercise of this Warrant. The Holder shall not be entitled to the return or refund of all, or any portion, of such pre-paid aggregate exercise price under any circumstance or for any reason whatsoever. The remaining unpaid exercise price per Warrant Share shall be $0.0001, subject to adjustment as provided herein (the “</w:t>
      </w:r>
      <w:r>
        <w:rPr>
          <w:rFonts w:ascii="Times New Roman" w:hAnsi="Times New Roman"/>
          <w:sz w:val="20"/>
          <w:u w:val="single"/>
        </w:rPr>
        <w:t>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Certificates for shares purchased hereunder shall be transmitted to the Holder by crediting the account of the Holder’s prime broker with The Depository Trust Company (“</w:t>
      </w:r>
      <w:r>
        <w:rPr>
          <w:rFonts w:ascii="Times New Roman" w:hAnsi="Times New Roman"/>
          <w:sz w:val="20"/>
          <w:u w:val="single"/>
        </w:rPr>
        <w:t>DTC</w:t>
      </w:r>
      <w:r>
        <w:rPr>
          <w:rFonts w:ascii="Times New Roman" w:hAnsi="Times New Roman"/>
          <w:sz w:val="20"/>
        </w:rPr>
        <w:t>”) through its Deposit/Withdrawal at Custodian (“</w:t>
      </w:r>
      <w:r>
        <w:rPr>
          <w:rFonts w:ascii="Times New Roman" w:hAnsi="Times New Roman"/>
          <w:sz w:val="20"/>
          <w:u w:val="single"/>
        </w:rPr>
        <w:t>DWAC</w:t>
      </w:r>
      <w:r>
        <w:rPr>
          <w:rFonts w:ascii="Times New Roman" w:hAnsi="Times New Roman"/>
          <w:sz w:val="20"/>
        </w:rPr>
        <w:t xml:space="preserve">”) system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 and otherwise by physical delivery to the address specified by the Holder in the Notice of Exercise no later than the number of Trading Days comprising the Standard Settlement Period after the receipt by the Company of the Notice of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(provided that payment of the Exercise Price (or notification of Cashless Exercise, if applicable) has then been received by the Company) (such date, the “</w:t>
      </w:r>
      <w:r>
        <w:rPr>
          <w:rFonts w:ascii="Times New Roman" w:hAnsi="Times New Roman"/>
          <w:sz w:val="20"/>
          <w:u w:val="single"/>
        </w:rPr>
        <w:t>Warrant Share Delivery Date</w:t>
      </w:r>
      <w:r>
        <w:rPr>
          <w:rFonts w:ascii="Times New Roman" w:hAnsi="Times New Roman"/>
          <w:sz w:val="20"/>
        </w:rPr>
        <w:t xml:space="preserve">”). This Warrant shall be deemed to have been exercised upon proper delivery of the Notice of Exercise and payment of the Exercise Price (or notification of Cashless Exercise). The Warrant Shares shall be deemed to have been issued, and the Holder or any other person so designated to be named therein shall be deemed to have become a holder of record of such shares for all purposes, as of the date the Warrant has been exercised. The Company shall use commercially reasonable efforts to maintain a transfer agent that is a participant in the FAST program so long as this Warrant remains outstanding and exercisable.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to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Compensation for Buy-In on Failure to Timely Deliver Warrant Shares Upon Exercise</w:t>
      </w:r>
      <w:r>
        <w:rPr>
          <w:rFonts w:ascii="Times New Roman" w:hAnsi="Times New Roman"/>
          <w:sz w:val="20"/>
        </w:rPr>
        <w:t>. In addition to any other rights available to the Holder, if the Company fails to cause its transfer agent to transmit to the Holder the Warrant Shares in accordance with the provisions of Section 2(c)(i) pursuant to an exercise on or before the Warrant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promptly, and in any event within two (2) Business Days of receipt of notice from the Holder of the occurrence of a Buy-In, either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or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with an aggregate sale price giving rise to such purchase obligation of $10,000, under clause (A) of the immediately preceding sentence the Company shall be required to pay the Holder $1,000. In connection with the foregoing, the Holder shall provide the Company written notice within three (3) Business Days after the occurrence of a Buy-In, indicating the amounts payable to the Holder in respect of the Buy-In and, upon request of the Company, evidence of the amount of such loss. Subject to Section 5(i),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or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Charges, Taxes and Expenses</w:t>
      </w:r>
      <w:r>
        <w:rPr>
          <w:rFonts w:ascii="Times New Roman" w:hAnsi="Times New Roman"/>
          <w:sz w:val="20"/>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Cashless Exercise</w:t>
      </w:r>
      <w:r>
        <w:rPr>
          <w:rFonts w:ascii="Times New Roman" w:hAnsi="Times New Roman"/>
          <w:sz w:val="20"/>
        </w:rPr>
        <w:t>. Notwithstanding anything contained herein to the contrary, the Holder may exercise this Warrant, whether in whole or in part, and in lieu of making the cash payment otherwise contemplated to be made to the Company upon such exercise in payment of the Exercise Price, by effecting a cashless exercise of this Warrant pursuant to which the Holder shall receive upon such cashless exercise the “Net Number” of Warrant Shares determined according to the following formula (a “</w:t>
      </w:r>
      <w:r>
        <w:rPr>
          <w:rFonts w:ascii="Times New Roman" w:hAnsi="Times New Roman"/>
          <w:sz w:val="20"/>
          <w:u w:val="single"/>
        </w:rPr>
        <w:t>Cashless Exercise</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3"/>
        <w:gridCol w:w="123"/>
        <w:gridCol w:w="1618"/>
        <w:gridCol w:w="123"/>
        <w:gridCol w:w="6548"/>
      </w:tblGrid>
      <w:tr>
        <w:trPr/>
        <w:tc>
          <w:tcPr>
            <w:tcW w:w="179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548" w:type="dxa"/>
            <w:tcBorders/>
            <w:vAlign w:val="center"/>
          </w:tcPr>
          <w:p>
            <w:pPr>
              <w:pStyle w:val="TableContents"/>
              <w:bidi w:val="0"/>
              <w:spacing w:before="0" w:after="283"/>
              <w:jc w:val="left"/>
              <w:rPr>
                <w:sz w:val="4"/>
                <w:szCs w:val="4"/>
              </w:rPr>
            </w:pPr>
            <w:r>
              <w:rPr>
                <w:sz w:val="4"/>
                <w:szCs w:val="4"/>
              </w:rPr>
            </w:r>
          </w:p>
        </w:tc>
      </w:tr>
      <w:tr>
        <w:trPr/>
        <w:tc>
          <w:tcPr>
            <w:tcW w:w="1793" w:type="dxa"/>
            <w:tcBorders/>
          </w:tcPr>
          <w:p>
            <w:pPr>
              <w:pStyle w:val="TableContents"/>
              <w:bidi w:val="0"/>
              <w:spacing w:before="0" w:after="0"/>
              <w:jc w:val="left"/>
              <w:rPr>
                <w:rFonts w:ascii="Times New Roman" w:hAnsi="Times New Roman"/>
                <w:sz w:val="20"/>
              </w:rPr>
            </w:pPr>
            <w:r>
              <w:rPr>
                <w:rFonts w:ascii="Times New Roman" w:hAnsi="Times New Roman"/>
                <w:sz w:val="20"/>
              </w:rPr>
              <w:t>Net Number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618" w:type="dxa"/>
            <w:tcBorders>
              <w:bottom w:val="single" w:sz="2" w:space="0" w:color="000000"/>
            </w:tcBorders>
            <w:tcMar>
              <w:bottom w:w="28" w:type="dxa"/>
            </w:tcMar>
          </w:tcPr>
          <w:p>
            <w:pPr>
              <w:pStyle w:val="TableContents"/>
              <w:bidi w:val="0"/>
              <w:spacing w:before="0" w:after="283"/>
              <w:jc w:val="center"/>
              <w:rPr/>
            </w:pPr>
            <w:r>
              <w:rPr/>
              <w:t>(A x B) - (A x C)</w:t>
            </w:r>
          </w:p>
        </w:tc>
        <w:tc>
          <w:tcPr>
            <w:tcW w:w="123" w:type="dxa"/>
            <w:tcBorders/>
            <w:vAlign w:val="bottom"/>
          </w:tcPr>
          <w:p>
            <w:pPr>
              <w:pStyle w:val="TableContents"/>
              <w:bidi w:val="0"/>
              <w:spacing w:before="0" w:after="283"/>
              <w:jc w:val="left"/>
              <w:rPr/>
            </w:pPr>
            <w:r>
              <w:rPr/>
              <w:t>  </w:t>
            </w:r>
          </w:p>
        </w:tc>
        <w:tc>
          <w:tcPr>
            <w:tcW w:w="6548" w:type="dxa"/>
            <w:tcBorders/>
          </w:tcPr>
          <w:p>
            <w:pPr>
              <w:pStyle w:val="TableContents"/>
              <w:bidi w:val="0"/>
              <w:spacing w:before="0" w:after="283"/>
              <w:jc w:val="left"/>
              <w:rPr>
                <w:sz w:val="4"/>
                <w:szCs w:val="4"/>
              </w:rPr>
            </w:pPr>
            <w:r>
              <w:rPr>
                <w:sz w:val="4"/>
                <w:szCs w:val="4"/>
              </w:rPr>
            </w:r>
          </w:p>
        </w:tc>
      </w:tr>
      <w:tr>
        <w:trPr/>
        <w:tc>
          <w:tcPr>
            <w:tcW w:w="179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center"/>
              <w:rPr/>
            </w:pPr>
            <w:r>
              <w:rPr/>
              <w:t>B</w:t>
            </w:r>
          </w:p>
        </w:tc>
        <w:tc>
          <w:tcPr>
            <w:tcW w:w="123" w:type="dxa"/>
            <w:tcBorders/>
            <w:vAlign w:val="bottom"/>
          </w:tcPr>
          <w:p>
            <w:pPr>
              <w:pStyle w:val="TableContents"/>
              <w:bidi w:val="0"/>
              <w:spacing w:before="0" w:after="283"/>
              <w:jc w:val="left"/>
              <w:rPr/>
            </w:pPr>
            <w:r>
              <w:rPr/>
              <w:t>  </w:t>
            </w:r>
          </w:p>
        </w:tc>
        <w:tc>
          <w:tcPr>
            <w:tcW w:w="654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formula: </w:t>
      </w:r>
    </w:p>
    <w:p>
      <w:pPr>
        <w:pStyle w:val="TextBody"/>
        <w:bidi w:val="0"/>
        <w:spacing w:before="0" w:after="0"/>
        <w:jc w:val="left"/>
        <w:rPr/>
      </w:pPr>
      <w:r>
        <w:rPr/>
        <w:t> </w:t>
      </w:r>
    </w:p>
    <w:tbl>
      <w:tblPr>
        <w:tblW w:w="4750" w:type="pct"/>
        <w:jc w:val="right"/>
        <w:tblInd w:w="0" w:type="dxa"/>
        <w:tblLayout w:type="fixed"/>
        <w:tblCellMar>
          <w:top w:w="0" w:type="dxa"/>
          <w:left w:w="0" w:type="dxa"/>
          <w:bottom w:w="0" w:type="dxa"/>
          <w:right w:w="0" w:type="dxa"/>
        </w:tblCellMar>
      </w:tblPr>
      <w:tblGrid>
        <w:gridCol w:w="328"/>
        <w:gridCol w:w="122"/>
        <w:gridCol w:w="9244"/>
      </w:tblGrid>
      <w:tr>
        <w:trPr/>
        <w:tc>
          <w:tcPr>
            <w:tcW w:w="32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244" w:type="dxa"/>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A =</w:t>
            </w:r>
          </w:p>
        </w:tc>
        <w:tc>
          <w:tcPr>
            <w:tcW w:w="122"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the total number of shares of Common Stock with respect to which this Warrant is then being exercised.</w:t>
            </w:r>
          </w:p>
        </w:tc>
      </w:tr>
      <w:tr>
        <w:trPr>
          <w:trHeight w:val="120" w:hRule="atLeast"/>
        </w:trPr>
        <w:tc>
          <w:tcPr>
            <w:tcW w:w="328" w:type="dxa"/>
            <w:tcBorders/>
            <w:vAlign w:val="center"/>
          </w:tcPr>
          <w:p>
            <w:pPr>
              <w:pStyle w:val="TableContents"/>
              <w:bidi w:val="0"/>
              <w:spacing w:before="0" w:after="283"/>
              <w:jc w:val="left"/>
              <w:rPr>
                <w:sz w:val="4"/>
                <w:szCs w:val="4"/>
              </w:rPr>
            </w:pPr>
            <w:r>
              <w:rPr>
                <w:sz w:val="4"/>
                <w:szCs w:val="4"/>
              </w:rPr>
            </w:r>
          </w:p>
        </w:tc>
        <w:tc>
          <w:tcPr>
            <w:tcW w:w="9366"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B =</w:t>
            </w:r>
          </w:p>
        </w:tc>
        <w:tc>
          <w:tcPr>
            <w:tcW w:w="122"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the Weighted Average Price of the shares of Common Stock on the date immediately preceding the date of the Notice of Exercise.</w:t>
            </w:r>
          </w:p>
        </w:tc>
      </w:tr>
      <w:tr>
        <w:trPr>
          <w:trHeight w:val="120" w:hRule="atLeast"/>
        </w:trPr>
        <w:tc>
          <w:tcPr>
            <w:tcW w:w="328" w:type="dxa"/>
            <w:tcBorders/>
            <w:vAlign w:val="center"/>
          </w:tcPr>
          <w:p>
            <w:pPr>
              <w:pStyle w:val="TableContents"/>
              <w:bidi w:val="0"/>
              <w:spacing w:before="0" w:after="283"/>
              <w:jc w:val="left"/>
              <w:rPr>
                <w:sz w:val="4"/>
                <w:szCs w:val="4"/>
              </w:rPr>
            </w:pPr>
            <w:r>
              <w:rPr>
                <w:sz w:val="4"/>
                <w:szCs w:val="4"/>
              </w:rPr>
            </w:r>
          </w:p>
        </w:tc>
        <w:tc>
          <w:tcPr>
            <w:tcW w:w="9366"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tcPr>
          <w:p>
            <w:pPr>
              <w:pStyle w:val="TableContents"/>
              <w:bidi w:val="0"/>
              <w:spacing w:before="0" w:after="283"/>
              <w:jc w:val="left"/>
              <w:rPr/>
            </w:pPr>
            <w:r>
              <w:rPr/>
              <w:t>C =</w:t>
            </w:r>
          </w:p>
        </w:tc>
        <w:tc>
          <w:tcPr>
            <w:tcW w:w="122" w:type="dxa"/>
            <w:tcBorders/>
            <w:vAlign w:val="bottom"/>
          </w:tcPr>
          <w:p>
            <w:pPr>
              <w:pStyle w:val="TableContents"/>
              <w:bidi w:val="0"/>
              <w:spacing w:before="0" w:after="283"/>
              <w:jc w:val="left"/>
              <w:rPr/>
            </w:pPr>
            <w:r>
              <w:rPr/>
              <w:t>  </w:t>
            </w:r>
          </w:p>
        </w:tc>
        <w:tc>
          <w:tcPr>
            <w:tcW w:w="9244" w:type="dxa"/>
            <w:tcBorders/>
          </w:tcPr>
          <w:p>
            <w:pPr>
              <w:pStyle w:val="TableContents"/>
              <w:bidi w:val="0"/>
              <w:spacing w:before="0" w:after="283"/>
              <w:jc w:val="left"/>
              <w:rPr/>
            </w:pPr>
            <w:r>
              <w:rPr/>
              <w:t>the Exercise Price then in effect for the applicable Warrant Shares at the time of such exercise.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at the time of the proposed exercise of this Warrant, there is not an effective registration statement for the sale of the Warrant Shares for cash, then this Warrant may </w:t>
      </w:r>
      <w:r>
        <w:rPr>
          <w:rFonts w:ascii="Times New Roman" w:hAnsi="Times New Roman"/>
          <w:sz w:val="20"/>
          <w:u w:val="single"/>
        </w:rPr>
        <w:t>only</w:t>
      </w:r>
      <w:r>
        <w:rPr>
          <w:rFonts w:ascii="Times New Roman" w:hAnsi="Times New Roman"/>
          <w:sz w:val="20"/>
        </w:rPr>
        <w:t xml:space="preserve"> be exercised through a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If Warrant Shares are issued in a Cashless Exercise, the Company acknowledges and agrees that in accordance with Section 3(a)(9) of the 1933 Act, the Warrant Shares shall take on the characteristics of the Warrant being exercised, and the holding period of the Warrant being exercised may be tacked on to the holding period of the Warrant Shares. The Company agrees not to take any position contrary to this Section 2(d).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Holder’s Exercise Limitations</w:t>
      </w:r>
      <w:r>
        <w:rPr>
          <w:rFonts w:ascii="Times New Roman" w:hAnsi="Times New Roman"/>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[4.99%][9.99%] (the “</w:t>
      </w:r>
      <w:r>
        <w:rPr>
          <w:rFonts w:ascii="Times New Roman" w:hAnsi="Times New Roman"/>
          <w:sz w:val="20"/>
          <w:u w:val="single"/>
        </w:rPr>
        <w:t>Maximum Percentage</w:t>
      </w:r>
      <w:r>
        <w:rPr>
          <w:rFonts w:ascii="Times New Roman" w:hAnsi="Times New Roman"/>
          <w:sz w:val="20"/>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1934 Act and the rules and regulations promulgated thereunder, it being acknowledged by the Holder that the Company is not representing to the Holder that such calculation is in compliance with Section 13(d) of the 1934 Act and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Form 8-K or other public filing with the Securities and Exchange Commission (the “</w:t>
      </w:r>
      <w:r>
        <w:rPr>
          <w:rFonts w:ascii="Times New Roman" w:hAnsi="Times New Roman"/>
          <w:sz w:val="20"/>
          <w:u w:val="single"/>
        </w:rPr>
        <w:t>SEC</w:t>
      </w:r>
      <w:r>
        <w:rPr>
          <w:rFonts w:ascii="Times New Roman" w:hAnsi="Times New Roman"/>
          <w:sz w:val="20"/>
        </w:rPr>
        <w:t>”), as the case may be, (y) a more recent public announcement by the Company or (z) any other written notice by the Company setting forth the number of shares of Common Stock outstanding (the “</w:t>
      </w:r>
      <w:r>
        <w:rPr>
          <w:rFonts w:ascii="Times New Roman" w:hAnsi="Times New Roman"/>
          <w:sz w:val="20"/>
          <w:u w:val="single"/>
        </w:rPr>
        <w:t>Reported Outstanding Share Number</w:t>
      </w:r>
      <w:r>
        <w:rPr>
          <w:rFonts w:ascii="Times New Roman" w:hAnsi="Times New Roman"/>
          <w:sz w:val="20"/>
        </w:rPr>
        <w:t>”). If the Company receives a Notice of Exercise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2(e),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sz w:val="20"/>
          <w:u w:val="single"/>
        </w:rPr>
        <w:t>Reduction Shares</w:t>
      </w:r>
      <w:r>
        <w:rPr>
          <w:rFonts w:ascii="Times New Roman" w:hAnsi="Times New Roman"/>
          <w:sz w:val="20"/>
        </w:rPr>
        <w:t>”) and (ii) as soon as reasonably practicable, the Company shall return to the Holder any exercise price paid by the Holder for the Reduction Shares. Upon the written request of the Holder, the Company shall within two (2) Business Days confirm in writing (including by electronic mail) to the Holder that the number of shares of Common Stock then outstanding is not less than the Company’s most recently reported outstanding share number or, if the number of shares of Common Stock then outstanding is less than the Company’s most recently reported outstanding share number, the Company shall confirm in writing (including by electronic mail) to the Holder the number of shares of Common Stock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hAnsi="Times New Roman"/>
          <w:sz w:val="20"/>
          <w:u w:val="single"/>
        </w:rPr>
        <w:t>Excess Shares</w:t>
      </w:r>
      <w:r>
        <w:rPr>
          <w:rFonts w:ascii="Times New Roman" w:hAnsi="Times New Roman"/>
          <w:sz w:val="20"/>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5635(b) or any successor rule) as specified in such notice; </w:t>
      </w:r>
      <w:r>
        <w:rPr>
          <w:rFonts w:ascii="Times New Roman" w:hAnsi="Times New Roman"/>
          <w:sz w:val="20"/>
          <w:u w:val="single"/>
        </w:rPr>
        <w:t>provided</w:t>
      </w:r>
      <w:r>
        <w:rPr>
          <w:rFonts w:ascii="Times New Roman" w:hAnsi="Times New Roman"/>
          <w:sz w:val="20"/>
        </w:rPr>
        <w:t xml:space="preserve">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19.99% limitation contained in this paragraph may not be waived and both the nonwaivable 19.99% limitation and the Maximum Percentage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Subdivision or Combination of Common Stock</w:t>
      </w:r>
      <w:r>
        <w:rPr>
          <w:rFonts w:ascii="Times New Roman" w:hAnsi="Times New Roman"/>
          <w:sz w:val="20"/>
        </w:rPr>
        <w:t xml:space="preserve">. If at any time while this Warrant is outstanding the Company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at any time while this Warrant is outstanding the Company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3(a) shall become effective at the close of business on the date the subdivision or combination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Subsequent Rights Offerings</w:t>
      </w:r>
      <w:r>
        <w:rPr>
          <w:rFonts w:ascii="Times New Roman" w:hAnsi="Times New Roman"/>
          <w:sz w:val="20"/>
        </w:rPr>
        <w:t>. In addition to any adjustments pursuant to Section 3(a) above, if during such time as this Warrant is outstanding the Company grants, issues or sells any rights to purchase stock, warrants, securities or other property, in each case pro rata to the record holders of any class of shares of Common Stock (the “</w:t>
      </w:r>
      <w:r>
        <w:rPr>
          <w:rFonts w:ascii="Times New Roman" w:hAnsi="Times New Roman"/>
          <w:sz w:val="20"/>
          <w:u w:val="single"/>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Section 2(e)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to the extent that the Holder’s right to participate in any such Purchase Right would result in the Holder and the other Attribution Parties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and the other Attribution Parties exceeding the Maximum Percentage).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 Rata Distributions</w:t>
      </w:r>
      <w:r>
        <w:rPr>
          <w:rFonts w:ascii="Times New Roman" w:hAnsi="Times New Roman"/>
          <w:sz w:val="20"/>
        </w:rPr>
        <w:t>. If at any time while this Warrant is outstanding the Company shall declare or make any dividend or other distribution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sz w:val="20"/>
          <w:u w:val="single"/>
        </w:rPr>
        <w:t>Distribution</w:t>
      </w:r>
      <w:r>
        <w:rPr>
          <w:rFonts w:ascii="Times New Roman" w:hAnsi="Times New Roman"/>
          <w:sz w:val="20"/>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Section 2(e) hereof)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to the extent that the Holder’s right to participate in any such Distribution would result in the Holder and the other Attribution Parties exceeding the Maximum Percentage, then the Holder shall not be entitled to participate in such Distribution to such extent (or in the beneficial ownership of any shares of Common Stock as a result of such Distribution to such extent) and the applicable portion of such Distribution shall be held in abeyance for the benefit of the Holder until such time, if ever, as its right thereto would not result in the Holder and the other Attribution Parties exceeding the Maximum Percentage).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w:t>
      </w:r>
      <w:r>
        <w:rPr>
          <w:rFonts w:ascii="Times New Roman" w:hAnsi="Times New Roman"/>
          <w:sz w:val="20"/>
        </w:rPr>
        <w:t>. Unless earlier exercised, this Warrant shall automatically be deemed fully exercised in accordance with the provisions of Section 2(d) hereof immediately prior to the consummation of a Fundamental Transaction, without regard to any limitations on exercise contained herein, and after the completion of such full exercise, shall be deemed terminated upon the consummation of such Fundamental Transaction. “</w:t>
      </w:r>
      <w:r>
        <w:rPr>
          <w:rFonts w:ascii="Times New Roman" w:hAnsi="Times New Roman"/>
          <w:sz w:val="20"/>
          <w:u w:val="single"/>
        </w:rPr>
        <w:t>Fundamental Transaction</w:t>
      </w:r>
      <w:r>
        <w:rPr>
          <w:rFonts w:ascii="Times New Roman" w:hAnsi="Times New Roman"/>
          <w:sz w:val="20"/>
        </w:rPr>
        <w:t xml:space="preserve">” means that the Company shall, directly or indirectly, in one or more related transactions, (i) consolidate or merge with or into another Person in a transaction in which the Company is not the surviving entity or the stockholders of the Company immediately prior to such merger or consolidation do not own, directly or indirectly, more than 50% of the voting power of the surviving entity immediately after such merger or consolidation, (ii) sell, assign, transfer, convey or otherwise dispose of all or a majority of the properties or assets of the Company on a consolidated basis to another Person, (iii) allow another Person to make a purchase, tender or exchange offer that results in such Person acquiring more than 50% of the outstanding shares of Common Stock (not including any shares of Common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similar transaction) with another Person whereby (A) such other Person acquires more than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(B) any Person or Group is or shall become the beneficial owner (determined in accordance with Section 13(d) of the 1934 Act and the rules and regulations promulgated thereunder), directly or indirectly, of more than 50% of the aggregate ordinary voting power represented by issued and outstanding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whole share, as the case may be. For purposes of this Section 3, any calculation of the number of shares of Common Stock deemed to be issued and outstanding as of a given date shall not include treasury shares, if any. In any case in which this Section 3 shall require that an adjustment in the Exercise Price be made effective as of a record date for a specified event, if Holder exercises this Warrant after such record date, the Company may elect to defer, until the occurrence of such event, the issuance of the shares of Common Stock and other capital stock of the Company in excess of the shares of Common Stock and other capital stock of the Company, if any, issuable upon such exercise on the basis of the Exercise Price in effect prior to such adjustment;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such case the Company shall deliver to the Holder a due bill or other appropriate instrument evidencing the Holder’s right to receive such additional shares and/or other capital securities upon the occurrence of the event requiring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 Value</w:t>
      </w:r>
      <w:r>
        <w:rPr>
          <w:rFonts w:ascii="Times New Roman" w:hAnsi="Times New Roman"/>
          <w:sz w:val="20"/>
        </w:rPr>
        <w:t xml:space="preserve">. Notwithstanding anything to the contrary in this Warrant, in no event shall the Exercise Price be reduced below the par value of the Company’s Common Stock. </w:t>
      </w:r>
    </w:p>
    <w:p>
      <w:pPr>
        <w:pStyle w:val="TextBody"/>
        <w:bidi w:val="0"/>
        <w:spacing w:before="240" w:after="0"/>
        <w:jc w:val="left"/>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Subject to compliance with any applicable securities laws, this Warrant and all rights hereunder are transferable, in whole or in part, upon surrender of this Warrant at the principal office of the Company (or other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This Warrant may be divided or combined with other Warrants upon presentation hereof at the aforesaid office of the Company (or other designated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set forth on the first page of this Warrant and shall be identical to this Warrant except as to the number of Warrant Shares issuable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Company shall initially serve as warrant agent under this Warrant. The Company shall register ownership of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Stockholder Until Exercise</w:t>
      </w:r>
      <w:r>
        <w:rPr>
          <w:rFonts w:ascii="Times New Roman" w:hAnsi="Times New Roman"/>
          <w:sz w:val="20"/>
        </w:rPr>
        <w:t xml:space="preserve">. Except as otherwise set forth in this Warrant, this Warrant does not entitle the Holder to any voting rights or other rights as a stockholder of the Company prior to the exercise hereof as set forth in Section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Business Day, then such action may be taken or such right may be exercised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Authorized Shares</w:t>
      </w:r>
      <w:r>
        <w:rPr>
          <w:rFonts w:ascii="Times New Roman" w:hAnsi="Times New Roman"/>
          <w:sz w:val="20"/>
        </w:rPr>
        <w:t xml:space="preserve">. 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issuance thereof (other than taxes in respect of any transfer occurring contemporaneously with such issuance). Except and to the extent as waived or consented to by the Holder, the Company shall not by any action, including, without limitation, amending its certificate of incorporation or through any reorganization, transfer of assets, consolidation, merger, dissolution, issuance or sale of securities or any other voluntary action, in each case to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Governing Law</w:t>
      </w:r>
      <w:r>
        <w:rPr>
          <w:rFonts w:ascii="Times New Roman" w:hAnsi="Times New Roman"/>
          <w:sz w:val="20"/>
        </w:rPr>
        <w:t xml:space="preserve">. This Warrant shall be governed by, and construed in accordance with, the laws of the State of New York without giving effect to the conflicts of law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the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Procedures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email at or prior to 5:30 p.m. (New York City time) on a Trading Day, (b) the next Trading Day after the date of transmission, if such notice or communication is delivered via email on a day that is not a Trading Day or later than 5:30 p.m. (New York City time) on any Trading Day, (c) the second (2nd) Trading Day following the date of mailing, if sent by U.S. nationally recognized overnight courier service or by International Federal Express, (d) the third (3rd) Trading Day following the date of mailing if sent by first-class registered or certified mail domestic, or (e) upon actual receipt by the party to whom such notice is required to be given. The addresses for such communications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Beta Bionics, Inc. </w:t>
      </w:r>
    </w:p>
    <w:p>
      <w:pPr>
        <w:pStyle w:val="TextBody"/>
        <w:bidi w:val="0"/>
        <w:spacing w:before="0" w:after="0"/>
        <w:jc w:val="left"/>
        <w:rPr>
          <w:rFonts w:ascii="Times New Roman" w:hAnsi="Times New Roman"/>
          <w:sz w:val="20"/>
        </w:rPr>
      </w:pPr>
      <w:r>
        <w:rPr>
          <w:rFonts w:ascii="Times New Roman" w:hAnsi="Times New Roman"/>
          <w:sz w:val="20"/>
        </w:rPr>
        <w:t xml:space="preserve">11 Hughes </w:t>
      </w:r>
    </w:p>
    <w:p>
      <w:pPr>
        <w:pStyle w:val="TextBody"/>
        <w:bidi w:val="0"/>
        <w:spacing w:before="0" w:after="0"/>
        <w:jc w:val="left"/>
        <w:rPr>
          <w:rFonts w:ascii="Times New Roman" w:hAnsi="Times New Roman"/>
          <w:sz w:val="20"/>
        </w:rPr>
      </w:pPr>
      <w:r>
        <w:rPr>
          <w:rFonts w:ascii="Times New Roman" w:hAnsi="Times New Roman"/>
          <w:sz w:val="20"/>
        </w:rPr>
        <w:t xml:space="preserve">Irvine, CA 92618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10265 Science Center Drive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92121-1117 </w:t>
      </w:r>
    </w:p>
    <w:p>
      <w:pPr>
        <w:pStyle w:val="TextBody"/>
        <w:bidi w:val="0"/>
        <w:spacing w:before="0" w:after="0"/>
        <w:jc w:val="left"/>
        <w:rPr>
          <w:rFonts w:ascii="Times New Roman" w:hAnsi="Times New Roman"/>
          <w:sz w:val="20"/>
        </w:rPr>
      </w:pPr>
      <w:r>
        <w:rPr>
          <w:rFonts w:ascii="Times New Roman" w:hAnsi="Times New Roman"/>
          <w:sz w:val="20"/>
        </w:rPr>
        <w:t xml:space="preserve">Attention: Carlos Ramirez (cramirez@cooley.com)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w:t>
      </w:r>
    </w:p>
    <w:p>
      <w:pPr>
        <w:pStyle w:val="TextBody"/>
        <w:bidi w:val="0"/>
        <w:spacing w:before="120" w:after="0"/>
        <w:jc w:val="left"/>
        <w:rPr>
          <w:rFonts w:ascii="Times New Roman" w:hAnsi="Times New Roman"/>
          <w:sz w:val="20"/>
        </w:rPr>
      </w:pPr>
      <w:r>
        <w:rPr>
          <w:rFonts w:ascii="Times New Roman" w:hAnsi="Times New Roman"/>
          <w:sz w:val="20"/>
        </w:rPr>
        <w:t xml:space="preserve">To the address or email address set forth in the Warrant Register, or as otherwise provided by the Holder to the Company in accordance with this Section 5(g)(i).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Adjustment to Exercise Price</w:t>
      </w:r>
      <w:r>
        <w:rPr>
          <w:rFonts w:ascii="Times New Roman" w:hAnsi="Times New Roman"/>
          <w:sz w:val="20"/>
        </w:rPr>
        <w:t xml:space="preserve">. Whenever the Exercise Price or number of Warrant Shares is adjusted pursuant to any provision of Section 3, the Company shall promptly provide the Holder a notice setting forth the Exercise Price and number of Warrant Shares after such adjustment and setting forth a brief statement of the facts requiring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Notice to Allow Exercise by the Holder</w:t>
      </w:r>
      <w:r>
        <w:rPr>
          <w:rFonts w:ascii="Times New Roman" w:hAnsi="Times New Roman"/>
          <w:sz w:val="20"/>
        </w:rPr>
        <w:t xml:space="preserve">. After the Issue Date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(which, for the avoidance of doubt, shall not include a license or other agreement granting rights to intellectual property),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at least ten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hAnsi="Times New Roman"/>
          <w:sz w:val="20"/>
          <w:u w:val="single"/>
        </w:rPr>
        <w:t>provided</w:t>
      </w:r>
      <w:r>
        <w:rPr>
          <w:rFonts w:ascii="Times New Roman" w:hAnsi="Times New Roman"/>
          <w:sz w:val="20"/>
        </w:rPr>
        <w:t xml:space="preserve"> that the failure to mail such notice or any defect therein or in the mailing thereof shall not affect the validity of the corporate action required to be specified in such notice. To the extent that any notice provided hereunder constitutes, or contains, material, non-public information regarding the Company or any of its subsidiaries, the Company shall promptly file such notice with the SEC pursuant to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Notwithstanding the foregoing or anything else herein to the contrary, if the Company is for any reason unable to issue and deliver Warrant Shares upon exercise of this Warrant as required pursuant to the terms hereof, the Company shall have no obligation to pay to the Holder any cash or other consideration or otherwise “net cash settle” this Warrant.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Confidentiality</w:t>
      </w:r>
      <w:r>
        <w:rPr>
          <w:rFonts w:ascii="Times New Roman" w:hAnsi="Times New Roman"/>
          <w:sz w:val="20"/>
        </w:rPr>
        <w:t xml:space="preserve">. The Holder agrees to keep confidential any proprietary information relating to the Company delivered by the Company hereunder; provided that nothing herein shall prevent the Holder from disclosing such information: (i) to any holder of Warrants or Warrant Shares, (ii) to any Affiliate of any holder of Warrants or Warrant Shares or any actual or potential transferee of the rights or obligations hereunder that agrees to be bound by this Section 5(m), (iii) upon order, subpoena, or other process of any court or administrative agency or otherwise required by law, (iv) upon the request or demand of any regulatory agency or authority having jurisdiction over such party, (v) which has been publicly disclosed without breach of any obligation to the Company, (vi) which has been obtained from any Person that is not a party hereto or an Affiliate of any such party without any breach of any obligation to the Company, (vii) in connection with the exercise of any remedy, or the resolution of any dispute hereunder, (viii) to the legal counsel or certified public accountants for any holder of Warrants or Warrant Shares, or (ix) as otherwise expressly contemplated by this Warrant. Notwithstanding the foregoing, the Company shall not provide material, non-public information or confidential or proprietary information to the Holder without such Holder’s written consent. If the Company does provide material, non-public information or confidential or proprietary information to the Holder without such Holder’s written consent, the Company shall promptly file such information with the SEC pursuant to a Current Report on Form 8-K and the Holder shall not be subject to any duty of confidentiality contained herein with respect to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Dispute Resolution</w:t>
      </w:r>
      <w:r>
        <w:rPr>
          <w:rFonts w:ascii="Times New Roman" w:hAnsi="Times New Roman"/>
          <w:sz w:val="20"/>
        </w:rPr>
        <w:t xml:space="preserve">. In the case of a dispute as to the determination of the Exercise Price or the arithmetic calculation of the Warrant Shares, the Company shall submit the disputed determinations or arithmetic calculations via email within two (2)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(2) Business Days submit via email (i) the disputed determination of the Exercise Price to an independent, reputable investment bank selected by the Company and approved by the Holder or (ii)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 The expenses of the investment bank and accountant will be borne by the Company unless the investment bank or accountant determines that the determination of the Exercise Price or the arithmetic calculation of the Warrant Shares by the Holder was incorrect, in which case the expenses of the investment bank and accountant will be borne by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Pre-Funded Common Stock Purchase Warrant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12"/>
        <w:gridCol w:w="109"/>
        <w:gridCol w:w="2961"/>
      </w:tblGrid>
      <w:tr>
        <w:trPr/>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BETA BIONICS, INC.</w:t>
            </w:r>
          </w:p>
        </w:tc>
      </w:tr>
      <w:tr>
        <w:trPr>
          <w:trHeight w:val="240" w:hRule="atLeast"/>
        </w:trPr>
        <w:tc>
          <w:tcPr>
            <w:tcW w:w="1012" w:type="dxa"/>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2961" w:type="dxa"/>
            <w:tcBorders>
              <w:bottom w:val="single" w:sz="2" w:space="0" w:color="000000"/>
            </w:tcBorders>
            <w:tcMar>
              <w:bottom w:w="28" w:type="dxa"/>
            </w:tcMar>
          </w:tcPr>
          <w:p>
            <w:pPr>
              <w:pStyle w:val="TableContents"/>
              <w:bidi w:val="0"/>
              <w:spacing w:before="0" w:after="283"/>
              <w:jc w:val="left"/>
              <w:rPr/>
            </w:pPr>
            <w:r>
              <w:rPr/>
              <w:t> </w:t>
            </w:r>
          </w:p>
        </w:tc>
      </w:tr>
      <w:tr>
        <w:trPr/>
        <w:tc>
          <w:tcPr>
            <w:tcW w:w="10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9"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left"/>
              <w:rPr>
                <w:sz w:val="4"/>
                <w:szCs w:val="4"/>
              </w:rPr>
            </w:pPr>
            <w:r>
              <w:rPr>
                <w:sz w:val="4"/>
                <w:szCs w:val="4"/>
              </w:rPr>
            </w:r>
          </w:p>
        </w:tc>
      </w:tr>
      <w:tr>
        <w:trPr/>
        <w:tc>
          <w:tcPr>
            <w:tcW w:w="10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9"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TO: BETA BIONICS, INC. </w:t>
      </w:r>
    </w:p>
    <w:p>
      <w:pPr>
        <w:pStyle w:val="TextBody"/>
        <w:bidi w:val="0"/>
        <w:spacing w:before="240" w:after="0"/>
        <w:jc w:val="left"/>
        <w:rPr>
          <w:rFonts w:ascii="Times New Roman" w:hAnsi="Times New Roman"/>
          <w:sz w:val="20"/>
        </w:rPr>
      </w:pPr>
      <w:r>
        <w:rPr>
          <w:rFonts w:ascii="Times New Roman" w:hAnsi="Times New Roman"/>
          <w:sz w:val="20"/>
        </w:rPr>
        <w:t>(1) The undersigned holder of Warrant No. PF-</w:t>
      </w:r>
      <w:r>
        <w:rPr>
          <w:rFonts w:ascii="Times New Roman" w:hAnsi="Times New Roman"/>
          <w:sz w:val="20"/>
          <w:u w:val="single"/>
        </w:rPr>
        <w:t>    </w:t>
      </w:r>
      <w:r>
        <w:rPr>
          <w:rFonts w:ascii="Times New Roman" w:hAnsi="Times New Roman"/>
          <w:sz w:val="20"/>
        </w:rPr>
        <w:t xml:space="preserve"> hereby elects to purchase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pPr>
      <w:r>
        <w:rPr/>
        <w:t xml:space="preserve">☐ </w:t>
      </w:r>
      <w:r>
        <w:rPr>
          <w:rFonts w:ascii="Times New Roman" w:hAnsi="Times New Roman"/>
          <w:sz w:val="20"/>
        </w:rPr>
        <w:t xml:space="preserve">Cash Exercise: lawful money of the United States; or </w:t>
      </w:r>
    </w:p>
    <w:p>
      <w:pPr>
        <w:pStyle w:val="TextBody"/>
        <w:bidi w:val="0"/>
        <w:spacing w:before="120" w:after="0"/>
        <w:jc w:val="left"/>
        <w:rPr/>
      </w:pPr>
      <w:r>
        <w:rPr/>
        <w:t xml:space="preserve">☐ </w:t>
      </w:r>
      <w:r>
        <w:rPr>
          <w:rFonts w:ascii="Times New Roman" w:hAnsi="Times New Roman"/>
          <w:sz w:val="20"/>
        </w:rPr>
        <w:t xml:space="preserve">Cashless Exercise: the cancellation of such number of Warrant Shares as is necessary, in accordance with the formula set forth in Section 2(d), to exercise this Warrant with respect to the maximum number of Warrant Shares purchasable pursuant to the cashless exercise procedure set forth in Section 2(d).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928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(4) 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or by physical delivery of a certificate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9288" w:type="dxa"/>
            <w:tcBorders>
              <w:bottom w:val="single" w:sz="2" w:space="0" w:color="000000"/>
            </w:tcBorders>
            <w:tcMar>
              <w:bottom w:w="28" w:type="dxa"/>
            </w:tcMar>
          </w:tcPr>
          <w:p>
            <w:pPr>
              <w:pStyle w:val="TableContents"/>
              <w:bidi w:val="0"/>
              <w:spacing w:before="0" w:after="283"/>
              <w:jc w:val="left"/>
              <w:rPr/>
            </w:pPr>
            <w:r>
              <w:rPr/>
              <w:t> </w:t>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9288" w:type="dxa"/>
            <w:tcBorders>
              <w:bottom w:val="single" w:sz="2" w:space="0" w:color="000000"/>
            </w:tcBorders>
            <w:tcMar>
              <w:bottom w:w="28" w:type="dxa"/>
            </w:tcMar>
          </w:tcPr>
          <w:p>
            <w:pPr>
              <w:pStyle w:val="TableContents"/>
              <w:bidi w:val="0"/>
              <w:spacing w:before="0" w:after="283"/>
              <w:jc w:val="left"/>
              <w:rPr/>
            </w:pPr>
            <w:r>
              <w:rPr/>
              <w:t> </w:t>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928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8"/>
        <w:gridCol w:w="102"/>
        <w:gridCol w:w="7655"/>
      </w:tblGrid>
      <w:tr>
        <w:trPr/>
        <w:tc>
          <w:tcPr>
            <w:tcW w:w="244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655" w:type="dxa"/>
            <w:tcBorders/>
            <w:vAlign w:val="center"/>
          </w:tcPr>
          <w:p>
            <w:pPr>
              <w:pStyle w:val="TableContents"/>
              <w:bidi w:val="0"/>
              <w:spacing w:before="0" w:after="283"/>
              <w:jc w:val="left"/>
              <w:rPr>
                <w:sz w:val="4"/>
                <w:szCs w:val="4"/>
              </w:rPr>
            </w:pPr>
            <w:r>
              <w:rPr>
                <w:sz w:val="4"/>
                <w:szCs w:val="4"/>
              </w:rPr>
            </w:r>
          </w:p>
        </w:tc>
      </w:tr>
      <w:tr>
        <w:trPr/>
        <w:tc>
          <w:tcPr>
            <w:tcW w:w="2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of Investing Entity: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765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Signature of Authorized</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765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Signatory of Investing Entity:</w:t>
            </w:r>
          </w:p>
          <w:p>
            <w:pPr>
              <w:pStyle w:val="TableContents"/>
              <w:bidi w:val="0"/>
              <w:spacing w:before="0" w:after="20"/>
              <w:jc w:val="left"/>
              <w:rPr>
                <w:rFonts w:ascii="Times New Roman" w:hAnsi="Times New Roman"/>
                <w:sz w:val="20"/>
              </w:rPr>
            </w:pPr>
            <w:r>
              <w:rPr>
                <w:rFonts w:ascii="Times New Roman" w:hAnsi="Times New Roman"/>
                <w:sz w:val="20"/>
              </w:rPr>
              <w:t>Name of Authorized Signatory: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765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4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of Authorized Signatory: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7655" w:type="dxa"/>
            <w:tcBorders>
              <w:bottom w:val="single" w:sz="2" w:space="0" w:color="000000"/>
            </w:tcBorders>
            <w:tcMar>
              <w:bottom w:w="28" w:type="dxa"/>
            </w:tcMar>
            <w:vAlign w:val="bottom"/>
          </w:tcPr>
          <w:p>
            <w:pPr>
              <w:pStyle w:val="TableContents"/>
              <w:bidi w:val="0"/>
              <w:spacing w:before="0" w:after="283"/>
              <w:jc w:val="left"/>
              <w:rPr/>
            </w:pPr>
            <w:r>
              <w:rPr/>
              <w:t> </w:t>
            </w:r>
          </w:p>
        </w:tc>
      </w:tr>
    </w:tbl>
    <w:tbl>
      <w:tblPr>
        <w:tblW w:w="5000" w:type="pct"/>
        <w:jc w:val="center"/>
        <w:tblInd w:w="0" w:type="dxa"/>
        <w:tblLayout w:type="fixed"/>
        <w:tblCellMar>
          <w:top w:w="0" w:type="dxa"/>
          <w:left w:w="0" w:type="dxa"/>
          <w:bottom w:w="0" w:type="dxa"/>
          <w:right w:w="0" w:type="dxa"/>
        </w:tblCellMar>
      </w:tblPr>
      <w:tblGrid>
        <w:gridCol w:w="410"/>
        <w:gridCol w:w="102"/>
        <w:gridCol w:w="9693"/>
      </w:tblGrid>
      <w:tr>
        <w:trPr/>
        <w:tc>
          <w:tcPr>
            <w:tcW w:w="4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693"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9693"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120" w:after="0"/>
        <w:jc w:val="center"/>
        <w:rPr>
          <w:rFonts w:ascii="Times New Roman" w:hAnsi="Times New Roman"/>
          <w:sz w:val="20"/>
        </w:rPr>
      </w:pPr>
      <w:r>
        <w:rPr>
          <w:rFonts w:ascii="Times New Roman" w:hAnsi="Times New Roman"/>
          <w:sz w:val="20"/>
        </w:rPr>
        <w:t xml:space="preserve">(To assign the foregoing warrant, execute </w:t>
      </w:r>
    </w:p>
    <w:p>
      <w:pPr>
        <w:pStyle w:val="TextBody"/>
        <w:bidi w:val="0"/>
        <w:spacing w:before="0" w:after="0"/>
        <w:jc w:val="center"/>
        <w:rPr>
          <w:rFonts w:ascii="Times New Roman" w:hAnsi="Times New Roman"/>
          <w:sz w:val="20"/>
        </w:rPr>
      </w:pPr>
      <w:r>
        <w:rPr>
          <w:rFonts w:ascii="Times New Roman" w:hAnsi="Times New Roman"/>
          <w:sz w:val="20"/>
        </w:rPr>
        <w:t xml:space="preserve">this form and supply required information. </w:t>
      </w:r>
    </w:p>
    <w:p>
      <w:pPr>
        <w:pStyle w:val="TextBody"/>
        <w:bidi w:val="0"/>
        <w:spacing w:before="0" w:after="0"/>
        <w:jc w:val="center"/>
        <w:rPr>
          <w:rFonts w:ascii="Times New Roman" w:hAnsi="Times New Roman"/>
          <w:sz w:val="20"/>
        </w:rPr>
      </w:pPr>
      <w:r>
        <w:rPr>
          <w:rFonts w:ascii="Times New Roman" w:hAnsi="Times New Roman"/>
          <w:sz w:val="20"/>
        </w:rPr>
        <w:t xml:space="preserve">Do not use this form to exercise the warrant.)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[  ] all of or [  ] shares of the foregoing Warrant and all rights evidenced thereby are hereby assigned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u w:val="single"/>
              </w:rPr>
              <w:t xml:space="preserve">                                           </w:t>
            </w:r>
            <w:r>
              <w:rPr/>
              <w:t xml:space="preserve">   </w:t>
            </w:r>
            <w:r>
              <w:rPr>
                <w:rFonts w:ascii="Times New Roman" w:hAnsi="Times New Roman"/>
                <w:sz w:val="20"/>
              </w:rPr>
              <w:t>whose address is</w:t>
            </w:r>
          </w:p>
        </w:tc>
      </w:tr>
      <w:tr>
        <w:trPr>
          <w:trHeight w:val="6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u w:val="single"/>
              </w:rPr>
              <w:t xml:space="preserve">                                           </w:t>
            </w:r>
            <w:r>
              <w:rPr/>
              <w:t> </w:t>
            </w:r>
            <w:r>
              <w:rPr>
                <w:rFonts w:ascii="Times New Roman" w:hAnsi="Times New Roman"/>
                <w:sz w:val="20"/>
              </w:rPr>
              <w:t>.</w:t>
            </w:r>
          </w:p>
        </w:tc>
      </w:tr>
      <w:tr>
        <w:trPr>
          <w:trHeight w:val="6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u w:val="single"/>
              </w:rPr>
            </w:pPr>
            <w:r>
              <w:rPr>
                <w:u w:val="single"/>
              </w:rPr>
              <w:t xml:space="preserve">                                           </w:t>
            </w:r>
          </w:p>
        </w:tc>
      </w:tr>
    </w:tbl>
    <w:tbl>
      <w:tblPr>
        <w:tblW w:w="5000" w:type="pct"/>
        <w:jc w:val="center"/>
        <w:tblInd w:w="0" w:type="dxa"/>
        <w:tblLayout w:type="fixed"/>
        <w:tblCellMar>
          <w:top w:w="0" w:type="dxa"/>
          <w:left w:w="0" w:type="dxa"/>
          <w:bottom w:w="0" w:type="dxa"/>
          <w:right w:w="0" w:type="dxa"/>
        </w:tblCellMar>
      </w:tblPr>
      <w:tblGrid>
        <w:gridCol w:w="2548"/>
        <w:gridCol w:w="101"/>
        <w:gridCol w:w="1535"/>
        <w:gridCol w:w="101"/>
        <w:gridCol w:w="2450"/>
        <w:gridCol w:w="101"/>
        <w:gridCol w:w="3369"/>
      </w:tblGrid>
      <w:tr>
        <w:trPr/>
        <w:tc>
          <w:tcPr>
            <w:tcW w:w="25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254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pPr>
            <w:r>
              <w:rPr/>
              <w:t>Dated:   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left"/>
              <w:rPr>
                <w:sz w:val="4"/>
                <w:szCs w:val="4"/>
              </w:rPr>
            </w:pPr>
            <w:r>
              <w:rPr>
                <w:sz w:val="4"/>
                <w:szCs w:val="4"/>
              </w:rPr>
            </w:r>
          </w:p>
        </w:tc>
      </w:tr>
      <w:tr>
        <w:trPr/>
        <w:tc>
          <w:tcPr>
            <w:tcW w:w="254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Holder’s Signature: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24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548" w:type="dxa"/>
            <w:tcBorders/>
            <w:vAlign w:val="center"/>
          </w:tcPr>
          <w:p>
            <w:pPr>
              <w:pStyle w:val="TableContents"/>
              <w:bidi w:val="0"/>
              <w:spacing w:before="0" w:after="283"/>
              <w:jc w:val="left"/>
              <w:rPr>
                <w:sz w:val="4"/>
                <w:szCs w:val="4"/>
              </w:rPr>
            </w:pPr>
            <w:r>
              <w:rPr>
                <w:sz w:val="4"/>
                <w:szCs w:val="4"/>
              </w:rPr>
            </w:r>
          </w:p>
        </w:tc>
        <w:tc>
          <w:tcPr>
            <w:tcW w:w="163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54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Holder’s Address: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24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548" w:type="dxa"/>
            <w:tcBorders/>
            <w:vAlign w:val="center"/>
          </w:tcPr>
          <w:p>
            <w:pPr>
              <w:pStyle w:val="TableContents"/>
              <w:bidi w:val="0"/>
              <w:spacing w:before="0" w:after="283"/>
              <w:jc w:val="left"/>
              <w:rPr>
                <w:sz w:val="4"/>
                <w:szCs w:val="4"/>
              </w:rPr>
            </w:pPr>
            <w:r>
              <w:rPr>
                <w:sz w:val="4"/>
                <w:szCs w:val="4"/>
              </w:rPr>
            </w:r>
          </w:p>
        </w:tc>
        <w:tc>
          <w:tcPr>
            <w:tcW w:w="163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254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24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The signature to this Assignment Form must correspond with the name as it appears on the face of the Warrant, without alteration or enlargement or any change whatsoever. </w:t>
      </w:r>
    </w:p>
    <w:p>
      <w:pPr>
        <w:pStyle w:val="TextBody"/>
        <w:bidi w:val="0"/>
        <w:spacing w:before="0" w:after="0"/>
        <w:jc w:val="right"/>
        <w:rPr>
          <w:rFonts w:ascii="Times New Roman" w:hAnsi="Times New Roman"/>
          <w:b/>
          <w:sz w:val="20"/>
        </w:rPr>
      </w:pPr>
      <w:bookmarkStart w:id="6" w:name="d178069dex51.htm"/>
      <w:bookmarkStart w:id="7" w:name="ksd178069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Carlos Ramirez </w:t>
      </w:r>
    </w:p>
    <w:p>
      <w:pPr>
        <w:pStyle w:val="TextBody"/>
        <w:bidi w:val="0"/>
        <w:spacing w:before="0" w:after="0"/>
        <w:jc w:val="left"/>
        <w:rPr>
          <w:rFonts w:ascii="Times New Roman" w:hAnsi="Times New Roman"/>
          <w:sz w:val="20"/>
        </w:rPr>
      </w:pPr>
      <w:r>
        <w:rPr>
          <w:rFonts w:ascii="Times New Roman" w:hAnsi="Times New Roman"/>
          <w:sz w:val="20"/>
        </w:rPr>
        <w:t xml:space="preserve">T: (858) 550-6157 </w:t>
      </w:r>
    </w:p>
    <w:p>
      <w:pPr>
        <w:pStyle w:val="TextBody"/>
        <w:bidi w:val="0"/>
        <w:spacing w:before="0" w:after="0"/>
        <w:jc w:val="left"/>
        <w:rPr>
          <w:rFonts w:ascii="Times New Roman" w:hAnsi="Times New Roman"/>
          <w:sz w:val="20"/>
        </w:rPr>
      </w:pPr>
      <w:r>
        <w:rPr>
          <w:rFonts w:ascii="Times New Roman" w:hAnsi="Times New Roman"/>
          <w:sz w:val="20"/>
        </w:rPr>
        <w:t xml:space="preserve">cramirez@cooley.com </w:t>
      </w:r>
    </w:p>
    <w:p>
      <w:pPr>
        <w:pStyle w:val="TextBody"/>
        <w:bidi w:val="0"/>
        <w:spacing w:before="240" w:after="0"/>
        <w:jc w:val="left"/>
        <w:rPr>
          <w:rFonts w:ascii="Times New Roman" w:hAnsi="Times New Roman"/>
          <w:sz w:val="20"/>
        </w:rPr>
      </w:pPr>
      <w:r>
        <w:rPr>
          <w:rFonts w:ascii="Times New Roman" w:hAnsi="Times New Roman"/>
          <w:sz w:val="20"/>
        </w:rPr>
        <w:t xml:space="preserve">September 16, 2026 </w:t>
      </w:r>
    </w:p>
    <w:p>
      <w:pPr>
        <w:pStyle w:val="TextBody"/>
        <w:bidi w:val="0"/>
        <w:spacing w:before="240" w:after="0"/>
        <w:jc w:val="left"/>
        <w:rPr>
          <w:rFonts w:ascii="Times New Roman" w:hAnsi="Times New Roman"/>
          <w:sz w:val="20"/>
        </w:rPr>
      </w:pPr>
      <w:r>
        <w:rPr>
          <w:rFonts w:ascii="Times New Roman" w:hAnsi="Times New Roman"/>
          <w:sz w:val="20"/>
        </w:rPr>
        <w:t xml:space="preserve">Beta Bionics, Inc. </w:t>
      </w:r>
    </w:p>
    <w:p>
      <w:pPr>
        <w:pStyle w:val="TextBody"/>
        <w:bidi w:val="0"/>
        <w:spacing w:before="0" w:after="0"/>
        <w:jc w:val="left"/>
        <w:rPr>
          <w:rFonts w:ascii="Times New Roman" w:hAnsi="Times New Roman"/>
          <w:sz w:val="20"/>
        </w:rPr>
      </w:pPr>
      <w:r>
        <w:rPr>
          <w:rFonts w:ascii="Times New Roman" w:hAnsi="Times New Roman"/>
          <w:sz w:val="20"/>
        </w:rPr>
        <w:t xml:space="preserve">11 Hughes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Beta Bionics, Inc., a Delaware corporation (the “</w:t>
      </w:r>
      <w:r>
        <w:rPr>
          <w:rFonts w:ascii="Times New Roman" w:hAnsi="Times New Roman"/>
          <w:b/>
          <w:i/>
          <w:sz w:val="20"/>
        </w:rPr>
        <w:t>Company</w:t>
      </w:r>
      <w:r>
        <w:rPr>
          <w:rFonts w:ascii="Times New Roman" w:hAnsi="Times New Roman"/>
          <w:sz w:val="20"/>
        </w:rPr>
        <w:t>”), in connection with the offering by the Company of (i) up to 8,956,523 shares (the “</w:t>
      </w:r>
      <w:r>
        <w:rPr>
          <w:rFonts w:ascii="Times New Roman" w:hAnsi="Times New Roman"/>
          <w:b/>
          <w:i/>
          <w:sz w:val="20"/>
        </w:rPr>
        <w:t>Shares</w:t>
      </w:r>
      <w:r>
        <w:rPr>
          <w:rFonts w:ascii="Times New Roman" w:hAnsi="Times New Roman"/>
          <w:sz w:val="20"/>
        </w:rPr>
        <w:t>”) of its common stock, par value $0.0001 per share (“</w:t>
      </w:r>
      <w:r>
        <w:rPr>
          <w:rFonts w:ascii="Times New Roman" w:hAnsi="Times New Roman"/>
          <w:b/>
          <w:i/>
          <w:sz w:val="20"/>
        </w:rPr>
        <w:t>Common Stock</w:t>
      </w:r>
      <w:r>
        <w:rPr>
          <w:rFonts w:ascii="Times New Roman" w:hAnsi="Times New Roman"/>
          <w:sz w:val="20"/>
        </w:rPr>
        <w:t>”), including up to 1,304,348 Shares that may be sold pursuant to the exercise of an option to purchase additional Shares, and (ii) pre-funded warrants (the “</w:t>
      </w:r>
      <w:r>
        <w:rPr>
          <w:rFonts w:ascii="Times New Roman" w:hAnsi="Times New Roman"/>
          <w:b/>
          <w:i/>
          <w:sz w:val="20"/>
        </w:rPr>
        <w:t>Warrants</w:t>
      </w:r>
      <w:r>
        <w:rPr>
          <w:rFonts w:ascii="Times New Roman" w:hAnsi="Times New Roman"/>
          <w:sz w:val="20"/>
        </w:rPr>
        <w:t>”) to purchase up to 1,043,484 shares of Common Stock (the “</w:t>
      </w:r>
      <w:r>
        <w:rPr>
          <w:rFonts w:ascii="Times New Roman" w:hAnsi="Times New Roman"/>
          <w:b/>
          <w:i/>
          <w:sz w:val="20"/>
        </w:rPr>
        <w:t>Warrant Shares</w:t>
      </w:r>
      <w:r>
        <w:rPr>
          <w:rFonts w:ascii="Times New Roman" w:hAnsi="Times New Roman"/>
          <w:sz w:val="20"/>
        </w:rPr>
        <w:t>”), pursuant to a Registration Statement on Form S-3 (No. 333-293702) (the “</w:t>
      </w:r>
      <w:r>
        <w:rPr>
          <w:rFonts w:ascii="Times New Roman" w:hAnsi="Times New Roman"/>
          <w:b/>
          <w:i/>
          <w:sz w:val="20"/>
        </w:rPr>
        <w:t>Registration Statement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prospectus included in the Registration Statement (the “</w:t>
      </w:r>
      <w:r>
        <w:rPr>
          <w:rFonts w:ascii="Times New Roman" w:hAnsi="Times New Roman"/>
          <w:b/>
          <w:i/>
          <w:sz w:val="20"/>
        </w:rPr>
        <w:t>Base Prospectus</w:t>
      </w:r>
      <w:r>
        <w:rPr>
          <w:rFonts w:ascii="Times New Roman" w:hAnsi="Times New Roman"/>
          <w:sz w:val="20"/>
        </w:rPr>
        <w:t>”), and the prospectus supplement relating to the Shares, the Warrants and the Warrant Shares dated September 15, 2026, filed with the Commission pursuant to Rule 424(b) under the Securities Act (together with the Base Prospectus, the “</w:t>
      </w:r>
      <w:r>
        <w:rPr>
          <w:rFonts w:ascii="Times New Roman" w:hAnsi="Times New Roman"/>
          <w:b/>
          <w:i/>
          <w:sz w:val="20"/>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the Prospectus, (b) the form of the Warrants to be filed as an exhibit to a Current Report on Form 8-K, (c) the Company’s certificate of incorporation and bylaws, each as currently in effect, and (d)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our opinion as to the Warrants and the Warrant Shares, we express no opinion to the extent that future issuances of securities of the Company, antidilution adjustments to outstanding securities of the Company or other matters cause the Warrants to be exercisable for more shares of Common Stock than the number available for issuance by the Company or that the consideration paid upon exercise of the Warrants is below the par value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opinion herein is expressed solely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our opinion concerning the Warrants constituting binding obligations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 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 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16,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 </w:t>
      </w:r>
    </w:p>
    <w:p>
      <w:pPr>
        <w:pStyle w:val="TextBody"/>
        <w:bidi w:val="0"/>
        <w:spacing w:before="240" w:after="0"/>
        <w:jc w:val="left"/>
        <w:rPr>
          <w:rFonts w:ascii="Times New Roman" w:hAnsi="Times New Roman"/>
          <w:sz w:val="20"/>
        </w:rPr>
      </w:pPr>
      <w:r>
        <w:rPr>
          <w:rFonts w:ascii="Times New Roman" w:hAnsi="Times New Roman"/>
          <w:sz w:val="20"/>
        </w:rPr>
        <w:t xml:space="preserve">(iii) We express no opinion with respect to any provision of the Warrants that: (a) relates to the subject matter jurisdiction of any federal court of the United States of America or any federal appellate court to adjudicate any controversy related to the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default interest, late charges, monetary penalties, prepayment or make-whole payments or other economic remedies; (e) relates to advance waivers of claims, defenses, rights granted by law, or notice, opportunity for hearing, evidentiary requirements, statutes of limitations, trial by jury, service of process or procedural rights; (f) restricts non-written modifications and waivers; (g) provides for the payment of legal and other professional fees where such payment is contrary to law or public policy; (h) relates to exclusivity, election or accumulation of rights or remedies; or (i) provides that provisions of the Warrants are severable to the extent an essential part of the agreed exchange is determined to be invalid and unenforceable; and </w:t>
      </w:r>
    </w:p>
    <w:p>
      <w:pPr>
        <w:pStyle w:val="TextBody"/>
        <w:bidi w:val="0"/>
        <w:spacing w:before="240" w:after="0"/>
        <w:jc w:val="left"/>
        <w:rPr>
          <w:rFonts w:ascii="Times New Roman" w:hAnsi="Times New Roman"/>
          <w:sz w:val="20"/>
        </w:rPr>
      </w:pPr>
      <w:r>
        <w:rPr>
          <w:rFonts w:ascii="Times New Roman" w:hAnsi="Times New Roman"/>
          <w:sz w:val="20"/>
        </w:rPr>
        <w:t xml:space="preserve">(iv) We express no opinion as to whether a state court outside of the State of New York or a federal court of the United States would give effect to the choice of New York law or jurisdiction provided for in the Warrants.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exceptions, limitation and qualifications set forth herein, we are of the opinion that (i) the Shares, when sold and issued as set forth in the Registration Statement and the Prospectus, will be validly issued, fully paid and nonassessable, (ii) the Warrants, when duly executed and delivered by the Company against payment therefor as set forth in the Registration Statement and the Prospectus, will be binding obligations of the Company and (iii) the Warrant Shares, when issued and paid for in accordance with the terms of the Warrants,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 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16, 2026 </w:t>
      </w:r>
    </w:p>
    <w:p>
      <w:pPr>
        <w:pStyle w:val="TextBody"/>
        <w:bidi w:val="0"/>
        <w:spacing w:before="0" w:after="0"/>
        <w:jc w:val="left"/>
        <w:rPr>
          <w:rFonts w:ascii="Times New Roman" w:hAnsi="Times New Roman"/>
          <w:sz w:val="20"/>
        </w:rPr>
      </w:pPr>
      <w:r>
        <w:rPr>
          <w:rFonts w:ascii="Times New Roman" w:hAnsi="Times New Roman"/>
          <w:sz w:val="20"/>
        </w:rPr>
        <w:t xml:space="preserve">Page Three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consent to the reference to our firm under the caption “Legal Matters” in the Prospectus and to the filing of this opinion as an exhibit to a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4"/>
        <w:gridCol w:w="61"/>
        <w:gridCol w:w="3657"/>
      </w:tblGrid>
      <w:tr>
        <w:trPr/>
        <w:tc>
          <w:tcPr>
            <w:tcW w:w="36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Cooley LLP</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57"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Carlos Ramirez</w:t>
            </w:r>
          </w:p>
        </w:tc>
      </w:tr>
      <w:tr>
        <w:trPr/>
        <w:tc>
          <w:tcPr>
            <w:tcW w:w="36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Carlos Ramirez</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 6420  cooley.com </w:t>
      </w:r>
    </w:p>
    <w:p>
      <w:pPr>
        <w:pStyle w:val="TextBody"/>
        <w:bidi w:val="0"/>
        <w:spacing w:before="0" w:after="0"/>
        <w:jc w:val="right"/>
        <w:rPr>
          <w:rFonts w:ascii="Times New Roman" w:hAnsi="Times New Roman"/>
          <w:b/>
          <w:sz w:val="20"/>
        </w:rPr>
      </w:pPr>
      <w:bookmarkStart w:id="8" w:name="d178069dex991.htm"/>
      <w:bookmarkStart w:id="9" w:name="ksd178069dex991"/>
      <w:bookmarkEnd w:id="8"/>
      <w:bookmarkEnd w:id="9"/>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200400"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00400" cy="5619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Beta Bionics Announces Proposed Public Offering of $125.0 Million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IRVINE, Calif., Sept. 15, 2026 (GLOBE NEWSWIRE) – Beta Bionics, Inc. (Nasdaq: BBNX) today announced that it intends to offer and sell, in an underwritten public offering and subject to market and other conditions, $125.0 million of shares of its common stock. All of the shares are being offered by Beta Bionics. In addition, Beta Bionics intends to grant the underwriters for the offering a 30-day option to purchase up to an additional $18.75 million of the shares of its common stock offered in the public offering. There can be no assurance as to whether or when the offering may be completed, or as to the actual size or terms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Beta Bionics expects to use the net proceeds from this offering for general corporate purposes, which may include costs associated with the commercialization of MintTM, including expansion of Beta Bionics’ manufacturing facilities, research and development and clinical development, investment in product enhancements, potential strategic opportunities and working capital and operating expenses. </w:t>
      </w:r>
    </w:p>
    <w:p>
      <w:pPr>
        <w:pStyle w:val="TextBody"/>
        <w:bidi w:val="0"/>
        <w:spacing w:before="240" w:after="0"/>
        <w:jc w:val="left"/>
        <w:rPr>
          <w:rFonts w:ascii="Times New Roman" w:hAnsi="Times New Roman"/>
          <w:sz w:val="20"/>
        </w:rPr>
      </w:pPr>
      <w:r>
        <w:rPr>
          <w:rFonts w:ascii="Times New Roman" w:hAnsi="Times New Roman"/>
          <w:sz w:val="20"/>
        </w:rPr>
        <w:t xml:space="preserve">J.P. Morgan, Piper Sandler, Wells Fargo Securities and Leerink Partners are acting as the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described above are being offered by Beta Bionics pursuant to a shelf registration statement on Form S-3 that was filed by Beta Bionics with the Securities and Exchange Commission (SEC) on February 24, 2026 and automatically became effective upon filing. A preliminary prospectus supplement related to the offering will be filed with the SEC and will be available on the SEC’s website located at http://www.sec.gov. Copies of the preliminary prospectus supplement and the accompanying prospectus related to this offering, when available, may be obtained from J.P. Morgan Securities LLC, c/o Broadridge Financial Solutions, 1155 Long Island Avenue, Edgewood, New York 11717, or by email at prospectus-eq_fi@jpmchase.com and postsalemanualrequests@broadridge.com; or from Piper Sandler &amp; Co., 350 North 5th Street, Suite 1000, Minneapolis, Minnesota 55401, Attention: Prospectus Department, by telephone at (800) 747-3924, or by email at prospectus@psc.com; or from Wells Fargo Securities, LLC, Attention: Wells Fargo Securities, 90 South 7th Street, 5th Floor, Minneapolis, Minnesota 55402, by telephone at 800-645-3751 (option #5), by email at WFScustomerservice@wellsfargo.com; or from Leerink Partners LLC, Attention: Syndicate Department, 53 State Street, 40th Floor, Boston, Massachusetts 02109, by telephone at (800) 808-7525, ext. 6105, or by email at syndicate@leerink.com.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Beta Bionics </w:t>
      </w:r>
    </w:p>
    <w:p>
      <w:pPr>
        <w:pStyle w:val="TextBody"/>
        <w:bidi w:val="0"/>
        <w:spacing w:before="120" w:after="0"/>
        <w:jc w:val="left"/>
        <w:rPr>
          <w:rFonts w:ascii="Times New Roman" w:hAnsi="Times New Roman"/>
          <w:sz w:val="20"/>
        </w:rPr>
      </w:pPr>
      <w:r>
        <w:rPr>
          <w:rFonts w:ascii="Times New Roman" w:hAnsi="Times New Roman"/>
          <w:sz w:val="20"/>
        </w:rPr>
        <w:t xml:space="preserve">Beta Bionics, Inc. is a commercial-stage medical device company engaged in the design, development, and commercialization of innovative solutions to improve the health and quality of life of insulin-requiring people with diabetes (PWD) by utilizing advanced adaptive closed-loop algorithms to simplify and improve the treatment of their disease. The iLet Bionic Pancreas is the first FDA-cleared insulin delivery device that autonomously determines every insulin dose and offers the potential to substantially improve overall outcomes across broad populations of PWD.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are forward-looking statements that involve a number of risks and uncertainties. These statements may be identified by introductory words such as “may,” “expects,” “goal,” “intend,” “will,” “would,” “subject to” or words of similar meaning, or by the fact that they do not relate strictly to historical or current facts. Such forward-looking statements include statements regarding Beta Bionics’ expectations with respect to the completion, timing and size of the proposed public offering, the use of proceeds from the proposed offering and granting the underwriters a 30-day option to purchase additional shares. For such statements, Beta Bionics claims the protection of the Private Securities Litigation Reform Act of 1995. Actual events or results may differ materially from Beta Bionics’ expectations. Factors that could cause actual results to differ materially from the forward-looking statements include, but are not limited to, changes in market conditions, the risk that the proposed offering will not be consummated on the terms or in the amounts contemplated or otherwise, and the satisfaction of customary closing conditions related to the proposed offering, as well as the risks and uncertainties discussed in the preliminary prospectus supplement for the proposed offering and other risks and uncertainties disclosed in Beta Bionics’ filings with the SEC, including its Annual Report on Form 10-K for the year ended December 31, 2025, filed with the SEC on February 24, 2026, as updated by its Quarterly Report on Form 10-Q for the quarter ended June 30, 2026, filed with the SEC on July 29, 2026, and other filings that Beta Bionics may make from time to time with the SEC. These forward-looking statements represent Beta Bionics’ judgment as of the time of this release. Beta Bionics disclaims any intent or obligation to update these forward-looking statements, other than as may be required under applicable law. </w:t>
      </w:r>
    </w:p>
    <w:p>
      <w:pPr>
        <w:pStyle w:val="TextBody"/>
        <w:bidi w:val="0"/>
        <w:spacing w:before="36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Blake Beber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u w:val="single"/>
        </w:rPr>
        <w:t>ir@betabionics.com</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Media and Public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Felicia Sanborn </w:t>
      </w:r>
    </w:p>
    <w:p>
      <w:pPr>
        <w:pStyle w:val="TextBody"/>
        <w:bidi w:val="0"/>
        <w:spacing w:before="0" w:after="0"/>
        <w:jc w:val="left"/>
        <w:rPr>
          <w:rFonts w:ascii="Times New Roman" w:hAnsi="Times New Roman"/>
          <w:sz w:val="20"/>
        </w:rPr>
      </w:pPr>
      <w:r>
        <w:rPr>
          <w:rFonts w:ascii="Times New Roman" w:hAnsi="Times New Roman"/>
          <w:sz w:val="20"/>
        </w:rPr>
        <w:t xml:space="preserve">Vice President of Marketing </w:t>
      </w:r>
    </w:p>
    <w:p>
      <w:pPr>
        <w:pStyle w:val="TextBody"/>
        <w:bidi w:val="0"/>
        <w:spacing w:before="0" w:after="0"/>
        <w:jc w:val="left"/>
        <w:rPr>
          <w:rFonts w:ascii="Times New Roman" w:hAnsi="Times New Roman"/>
          <w:sz w:val="20"/>
        </w:rPr>
      </w:pPr>
      <w:r>
        <w:rPr>
          <w:rFonts w:ascii="Times New Roman" w:hAnsi="Times New Roman"/>
          <w:sz w:val="20"/>
          <w:u w:val="single"/>
        </w:rPr>
        <w:t>media@betabionics.com</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0" w:name="d178069dex992.htm"/>
      <w:bookmarkStart w:id="11" w:name="ksd178069dex992"/>
      <w:bookmarkEnd w:id="10"/>
      <w:bookmarkEnd w:id="11"/>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200400" cy="561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200400" cy="5619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Beta Bionics Announces Pricing of Public Offering of Common 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IRVINE, Calif., Sept. 15, 2026 – Beta Bionics, Inc. (Nasdaq: BBNX) today announced the pricing of an underwritten public offering of 7,652,175 shares of its common stock at a price to the public of $17.25 per share and, in lieu of shares of common stock to certain investors, pre-funded warrants to purchase 1,043,484 shares of common stock at a purchase price of $17.2499 per share, which equals the public offering price per share of the common stock less the $0.0001 exercise price per share of each pre-funded warrant. The gross proceeds from this offering are expected to be $150.0 million, before deducting underwriting discounts and commissions and offering expenses payable by Beta Bionics. The offering is expected to close on or about September 17, 2026, subject to customary closing conditions. In addition, Beta Bionics has granted the underwriters for the offering a 30-day option to purchase up to 1,304,348 additional shares of its common stock at the public offering price,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Beta Bionics expects to use the net proceeds from this offering for general corporate purposes, which may include costs associated with the commercialization of MintTM, including expansion of Beta Bionics’ manufacturing facilities, research and development and clinical development, investment in product enhancements, potential strategic opportunities and working capital and operating expenses. </w:t>
      </w:r>
    </w:p>
    <w:p>
      <w:pPr>
        <w:pStyle w:val="TextBody"/>
        <w:bidi w:val="0"/>
        <w:spacing w:before="240" w:after="0"/>
        <w:jc w:val="left"/>
        <w:rPr>
          <w:rFonts w:ascii="Times New Roman" w:hAnsi="Times New Roman"/>
          <w:sz w:val="20"/>
        </w:rPr>
      </w:pPr>
      <w:r>
        <w:rPr>
          <w:rFonts w:ascii="Times New Roman" w:hAnsi="Times New Roman"/>
          <w:sz w:val="20"/>
        </w:rPr>
        <w:t xml:space="preserve">J.P. Morgan, Piper Sandler, Wells Fargo Securities and Leerink Partners are acting as the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and pre-funded warrants described above are being offered by Beta Bionics pursuant to a shelf registration statement on Form S-3 that was filed by Beta Bionics with the Securities and Exchange Commission (SEC) on February 24, 2026 and automatically became effective upon filing. A final prospectus supplement related to the offering will be filed with the SEC and will be available on the SEC’s website located at http://www.sec.gov. Copies of the final prospectus supplement and the accompanying prospectus related to this offering, when available, may be obtained from J.P. Morgan Securities LLC, c/o Broadridge Financial Solutions, 1155 Long Island Avenue, Edgewood, New York 11717, or by email at prospectus-eq_fi@jpmchase.com and postsalemanualrequests@broadridge.com; or from Piper Sandler &amp; Co., 350 North 5th Street, Suite 1000, Minneapolis, Minnesota 55401, Attention: Prospectus Department, by telephone at (800) 747-3924, or by email at prospectus@psc.com; or from Wells Fargo Securities, LLC, Attention: Wells Fargo Securities, 90 South 7th Street, 5th Floor, Minneapolis, Minnesota 55402, by telephone at 800-645-3751 (option #5), by email at WFScustomerservice@wellsfargo.com; or from Leerink Partners LLC, Attention: Syndicate Department, 53 State Street, 40th Floor, Boston, Massachusetts 02109, by telephone at (800) 808-7525, ext. 6105, or by email at syndicate@leerink.com.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Beta Bionics </w:t>
      </w:r>
    </w:p>
    <w:p>
      <w:pPr>
        <w:pStyle w:val="TextBody"/>
        <w:bidi w:val="0"/>
        <w:spacing w:before="120" w:after="0"/>
        <w:jc w:val="left"/>
        <w:rPr>
          <w:rFonts w:ascii="Times New Roman" w:hAnsi="Times New Roman"/>
          <w:sz w:val="20"/>
        </w:rPr>
      </w:pPr>
      <w:r>
        <w:rPr>
          <w:rFonts w:ascii="Times New Roman" w:hAnsi="Times New Roman"/>
          <w:sz w:val="20"/>
        </w:rPr>
        <w:t xml:space="preserve">Beta Bionics, Inc. is a commercial-stage medical device company engaged in the design, development, and commercialization of innovative solutions to improve the health and quality of life of insulin-requiring people with diabetes (PWD) by utilizing advanced adaptive closed-loop algorithms to simplify and improve the treatment of their disease. The iLet Bionic Pancreas is the first FDA-cleared insulin delivery device that autonomously determines every insulin dose and offers the potential to substantially improve overall outcomes across broad populations of PWD.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are forward-looking statements that involve a number of risks and uncertainties. These statements may be identified by introductory words such as “may,” “expects,” “goal,” “intend,” “will,” “would,” “subject to” or words of similar meaning, or by the fact that they do not relate strictly to historical or current facts. Such forward-looking statements include statements regarding Beta Bionics’ expectations with respect to the completion, timing and size of the public offering, and the use of proceeds from the offering. For such statements, Beta Bionics claims the protection of the Private Securities Litigation Reform Act of 1995. Actual events or results may differ materially from Beta Bionics’ expectations. Factors that could cause actual results to differ materially from the forward-looking statements include, but are not limited to, changes in market conditions, the risk that the offering will not be consummated on the timing contemplated or otherwise, and the satisfaction of customary closing conditions related to the offering, as well as the risks and uncertainties discussed in the preliminary prospectus supplement for the offering and other risks and uncertainties disclosed in Beta Bionics’ filings with the SEC, including our Annual Report on Form 10-K for the year ended December 31, 2025, filed with the SEC on February 24, 2026, as updated by its Quarterly Report on Form 10-Q for the quarter ended June 30, 2026, filed with the SEC on July 29, 2026, and other filings that Beta Bionics may make from time to time with the SEC. These forward-looking statements represent Beta Bionics’ judgment as of the time of this release. Beta Bionics disclaims any intent or obligation to update these forward-looking statements, other than as may be required under applicable law. </w:t>
      </w:r>
    </w:p>
    <w:p>
      <w:pPr>
        <w:pStyle w:val="TextBody"/>
        <w:bidi w:val="0"/>
        <w:spacing w:before="36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Blake Beber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u w:val="single"/>
        </w:rPr>
        <w:t>ir@betabionics.com</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Media and Public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Felicia Sanborn </w:t>
      </w:r>
    </w:p>
    <w:p>
      <w:pPr>
        <w:pStyle w:val="TextBody"/>
        <w:bidi w:val="0"/>
        <w:spacing w:before="0" w:after="0"/>
        <w:jc w:val="left"/>
        <w:rPr>
          <w:rFonts w:ascii="Times New Roman" w:hAnsi="Times New Roman"/>
          <w:sz w:val="20"/>
        </w:rPr>
      </w:pPr>
      <w:r>
        <w:rPr>
          <w:rFonts w:ascii="Times New Roman" w:hAnsi="Times New Roman"/>
          <w:sz w:val="20"/>
        </w:rPr>
        <w:t xml:space="preserve">Vice President of Marketing </w:t>
      </w:r>
    </w:p>
    <w:p>
      <w:pPr>
        <w:pStyle w:val="TextBody"/>
        <w:bidi w:val="0"/>
        <w:spacing w:before="0" w:after="0"/>
        <w:jc w:val="left"/>
        <w:rPr>
          <w:rFonts w:ascii="Times New Roman" w:hAnsi="Times New Roman"/>
          <w:sz w:val="20"/>
        </w:rPr>
      </w:pPr>
      <w:r>
        <w:rPr>
          <w:rFonts w:ascii="Times New Roman" w:hAnsi="Times New Roman"/>
          <w:sz w:val="20"/>
          <w:u w:val="single"/>
        </w:rPr>
        <w:t>media@betabionics.com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104</Pages>
  <Words>50977</Words>
  <Characters>268524</Characters>
  <CharactersWithSpaces>320051</CharactersWithSpaces>
  <Paragraphs>1235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